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5654" w14:textId="77777777" w:rsidR="001961A9" w:rsidRPr="002936FE" w:rsidRDefault="001961A9" w:rsidP="001961A9">
      <w:pPr>
        <w:jc w:val="center"/>
        <w:rPr>
          <w:rFonts w:ascii="Times New Roman" w:hAnsi="Times New Roman" w:cs="Times New Roman"/>
          <w:b/>
          <w:bCs/>
          <w:sz w:val="32"/>
        </w:rPr>
      </w:pPr>
    </w:p>
    <w:p w14:paraId="415C8B94" w14:textId="77777777" w:rsidR="001961A9" w:rsidRPr="002936FE" w:rsidRDefault="001961A9" w:rsidP="001961A9">
      <w:pPr>
        <w:jc w:val="center"/>
        <w:rPr>
          <w:rFonts w:ascii="Times New Roman" w:hAnsi="Times New Roman" w:cs="Times New Roman"/>
          <w:b/>
          <w:bCs/>
          <w:sz w:val="32"/>
        </w:rPr>
      </w:pPr>
    </w:p>
    <w:p w14:paraId="168D6D1E" w14:textId="289D9B53" w:rsidR="001961A9" w:rsidRPr="002936FE" w:rsidRDefault="001961A9" w:rsidP="001961A9">
      <w:pPr>
        <w:jc w:val="center"/>
        <w:rPr>
          <w:rFonts w:ascii="Times New Roman" w:hAnsi="Times New Roman" w:cs="Times New Roman"/>
          <w:b/>
          <w:bCs/>
          <w:sz w:val="32"/>
        </w:rPr>
      </w:pPr>
      <w:r w:rsidRPr="002936FE">
        <w:rPr>
          <w:rFonts w:ascii="Times New Roman" w:hAnsi="Times New Roman" w:cs="Times New Roman"/>
          <w:b/>
          <w:bCs/>
          <w:sz w:val="32"/>
        </w:rPr>
        <w:t>Collective Bargaining Laws and Returns to STEM Majors in the Labor Market for Teachers</w:t>
      </w:r>
    </w:p>
    <w:p w14:paraId="4A9FCCCA" w14:textId="77777777" w:rsidR="001961A9" w:rsidRPr="002936FE" w:rsidRDefault="001961A9" w:rsidP="001961A9">
      <w:pPr>
        <w:rPr>
          <w:rFonts w:ascii="Times New Roman" w:hAnsi="Times New Roman" w:cs="Times New Roman"/>
          <w:sz w:val="32"/>
        </w:rPr>
      </w:pPr>
    </w:p>
    <w:p w14:paraId="6F80351D" w14:textId="7320219D" w:rsidR="001961A9" w:rsidRPr="002936FE" w:rsidRDefault="001961A9" w:rsidP="001961A9">
      <w:pPr>
        <w:jc w:val="center"/>
        <w:rPr>
          <w:rFonts w:ascii="Times New Roman" w:hAnsi="Times New Roman" w:cs="Times New Roman"/>
        </w:rPr>
      </w:pPr>
      <w:r w:rsidRPr="002936FE">
        <w:rPr>
          <w:rFonts w:ascii="Times New Roman" w:hAnsi="Times New Roman" w:cs="Times New Roman"/>
          <w:sz w:val="32"/>
        </w:rPr>
        <w:t>Andrew Ju</w:t>
      </w:r>
      <w:r w:rsidRPr="002936FE">
        <w:rPr>
          <w:rStyle w:val="FootnoteReference"/>
          <w:rFonts w:ascii="Times New Roman" w:hAnsi="Times New Roman" w:cs="Times New Roman"/>
        </w:rPr>
        <w:footnoteReference w:customMarkFollows="1" w:id="1"/>
        <w:sym w:font="Symbol" w:char="F02A"/>
      </w:r>
    </w:p>
    <w:p w14:paraId="248285E2" w14:textId="006EAFFA" w:rsidR="001961A9" w:rsidRPr="002936FE" w:rsidRDefault="001961A9" w:rsidP="001961A9">
      <w:pPr>
        <w:jc w:val="center"/>
        <w:rPr>
          <w:rFonts w:ascii="Times New Roman" w:hAnsi="Times New Roman" w:cs="Times New Roman"/>
        </w:rPr>
      </w:pPr>
      <w:r w:rsidRPr="002936FE">
        <w:rPr>
          <w:rFonts w:ascii="Times New Roman" w:hAnsi="Times New Roman" w:cs="Times New Roman"/>
          <w:sz w:val="32"/>
        </w:rPr>
        <w:t>Krishna Regmi</w:t>
      </w:r>
      <w:r w:rsidRPr="002936FE">
        <w:rPr>
          <w:rStyle w:val="FootnoteReference"/>
          <w:rFonts w:ascii="Times New Roman" w:hAnsi="Times New Roman" w:cs="Times New Roman"/>
          <w:sz w:val="32"/>
        </w:rPr>
        <w:footnoteReference w:customMarkFollows="1" w:id="2"/>
        <w:t>±</w:t>
      </w:r>
    </w:p>
    <w:p w14:paraId="3E56FBC1" w14:textId="77777777" w:rsidR="001961A9" w:rsidRPr="002936FE" w:rsidRDefault="001961A9" w:rsidP="001961A9">
      <w:pPr>
        <w:jc w:val="center"/>
        <w:rPr>
          <w:rFonts w:ascii="Times New Roman" w:hAnsi="Times New Roman" w:cs="Times New Roman"/>
          <w:sz w:val="32"/>
          <w:szCs w:val="32"/>
        </w:rPr>
      </w:pPr>
    </w:p>
    <w:p w14:paraId="2A04EDFC" w14:textId="0E293877" w:rsidR="001961A9" w:rsidRPr="002936FE" w:rsidRDefault="001961A9" w:rsidP="001961A9">
      <w:pPr>
        <w:jc w:val="center"/>
        <w:rPr>
          <w:rFonts w:ascii="Times New Roman" w:hAnsi="Times New Roman" w:cs="Times New Roman"/>
          <w:sz w:val="32"/>
          <w:szCs w:val="32"/>
        </w:rPr>
      </w:pPr>
      <w:r w:rsidRPr="002936FE">
        <w:rPr>
          <w:rFonts w:ascii="Times New Roman" w:hAnsi="Times New Roman" w:cs="Times New Roman"/>
          <w:sz w:val="32"/>
          <w:szCs w:val="32"/>
        </w:rPr>
        <w:t>October 2023</w:t>
      </w:r>
    </w:p>
    <w:p w14:paraId="1A2AB258" w14:textId="77777777" w:rsidR="001961A9" w:rsidRPr="002936FE" w:rsidRDefault="001961A9" w:rsidP="001961A9">
      <w:pPr>
        <w:rPr>
          <w:rFonts w:ascii="Times New Roman" w:hAnsi="Times New Roman" w:cs="Times New Roman"/>
        </w:rPr>
      </w:pPr>
    </w:p>
    <w:p w14:paraId="73088C9E" w14:textId="77777777" w:rsidR="001961A9" w:rsidRPr="002936FE" w:rsidRDefault="001961A9" w:rsidP="001961A9">
      <w:pPr>
        <w:rPr>
          <w:rFonts w:ascii="Times New Roman" w:hAnsi="Times New Roman" w:cs="Times New Roman"/>
        </w:rPr>
      </w:pPr>
    </w:p>
    <w:p w14:paraId="2A078183" w14:textId="77777777" w:rsidR="001961A9" w:rsidRPr="002936FE" w:rsidRDefault="001961A9" w:rsidP="001961A9">
      <w:pPr>
        <w:rPr>
          <w:rFonts w:ascii="Times New Roman" w:hAnsi="Times New Roman" w:cs="Times New Roman"/>
        </w:rPr>
      </w:pPr>
    </w:p>
    <w:p w14:paraId="7D0038A8" w14:textId="69B9F0D3" w:rsidR="001961A9" w:rsidRPr="002936FE" w:rsidRDefault="001961A9" w:rsidP="001961A9">
      <w:pPr>
        <w:spacing w:line="360" w:lineRule="auto"/>
        <w:jc w:val="center"/>
        <w:rPr>
          <w:rFonts w:ascii="Times New Roman" w:hAnsi="Times New Roman" w:cs="Times New Roman"/>
          <w:b/>
        </w:rPr>
      </w:pPr>
      <w:r w:rsidRPr="002936FE">
        <w:rPr>
          <w:rFonts w:ascii="Times New Roman" w:hAnsi="Times New Roman" w:cs="Times New Roman"/>
          <w:b/>
        </w:rPr>
        <w:t>Abstract</w:t>
      </w:r>
    </w:p>
    <w:p w14:paraId="52C8087B" w14:textId="72301291" w:rsidR="00851EFD" w:rsidRPr="002936FE" w:rsidRDefault="001961A9" w:rsidP="001961A9">
      <w:pPr>
        <w:widowControl w:val="0"/>
        <w:autoSpaceDE w:val="0"/>
        <w:autoSpaceDN w:val="0"/>
        <w:adjustRightInd w:val="0"/>
        <w:spacing w:after="0" w:line="240" w:lineRule="auto"/>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In light of growing difficulties for schools to attract teachers in science, technology, engineering, and mathematics (STEM) fields and the continued discussions surrounding the unionization of education, this paper examines the effect of collective bargaining (CB) laws on the salary of teachers with a STEM degree. To isolate the effect of bargaining laws on STEM teachers, we compare pay differentials between STEM and non-STEM teachers in CB-mandated and -prohibited areas, controlling for the local labor market. Our results show that the bargaining laws increase female STEM teachers’ salaries by approximately 7.5 percent. In exploring a potential mechanism, we demonstrate that female teachers in mandatory CB states accrue more years of experience.</w:t>
      </w:r>
    </w:p>
    <w:p w14:paraId="10089F6F" w14:textId="35D91DE5" w:rsidR="001961A9" w:rsidRPr="002936FE" w:rsidRDefault="001961A9">
      <w:pPr>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br w:type="page"/>
      </w:r>
    </w:p>
    <w:p w14:paraId="478E102C" w14:textId="6C43F737" w:rsidR="00412F22" w:rsidRPr="002936FE" w:rsidRDefault="001961A9" w:rsidP="00412F22">
      <w:pPr>
        <w:pStyle w:val="ListParagraph"/>
        <w:widowControl w:val="0"/>
        <w:numPr>
          <w:ilvl w:val="0"/>
          <w:numId w:val="1"/>
        </w:numPr>
        <w:autoSpaceDE w:val="0"/>
        <w:autoSpaceDN w:val="0"/>
        <w:adjustRightInd w:val="0"/>
        <w:spacing w:line="240" w:lineRule="auto"/>
        <w:ind w:leftChars="0"/>
        <w:jc w:val="both"/>
        <w:rPr>
          <w:rFonts w:ascii="Times New Roman" w:hAnsi="Times New Roman" w:cs="Times New Roman"/>
          <w:b/>
          <w:bCs/>
          <w:sz w:val="24"/>
          <w:szCs w:val="24"/>
          <w14:ligatures w14:val="standardContextual"/>
        </w:rPr>
      </w:pPr>
      <w:r w:rsidRPr="002936FE">
        <w:rPr>
          <w:rFonts w:ascii="Times New Roman" w:hAnsi="Times New Roman" w:cs="Times New Roman"/>
          <w:b/>
          <w:bCs/>
          <w:sz w:val="24"/>
          <w:szCs w:val="24"/>
          <w14:ligatures w14:val="standardContextual"/>
        </w:rPr>
        <w:lastRenderedPageBreak/>
        <w:t>Introduction</w:t>
      </w:r>
    </w:p>
    <w:p w14:paraId="1C10832F" w14:textId="7DD29BD1" w:rsidR="001961A9" w:rsidRPr="002936FE" w:rsidRDefault="001961A9" w:rsidP="00412F22">
      <w:pPr>
        <w:widowControl w:val="0"/>
        <w:autoSpaceDE w:val="0"/>
        <w:autoSpaceDN w:val="0"/>
        <w:adjustRightInd w:val="0"/>
        <w:spacing w:after="0" w:line="480" w:lineRule="auto"/>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School districts face difficulties finding qualified teachers in science, technology, engineering, and mathematics (STEM) fields (Feng and Sass 2018). The availability of higher-paying job opportunities outside of public education makes it challenging to recruit and retain teachers with academic backgrounds in these subjects. Indeed, the lack of adequately qualified STEM teachers has been tied to both the under-performance of US students in international math and science tests and the racial achievement gap (the National Commission on Mathematics and Science Teaching for the 21</w:t>
      </w:r>
      <w:r w:rsidRPr="002936FE">
        <w:rPr>
          <w:rFonts w:ascii="Times New Roman" w:eastAsia="CMMI8" w:hAnsi="Times New Roman" w:cs="Times New Roman"/>
          <w:sz w:val="24"/>
          <w:szCs w:val="24"/>
          <w14:ligatures w14:val="standardContextual"/>
        </w:rPr>
        <w:t xml:space="preserve">st </w:t>
      </w:r>
      <w:r w:rsidRPr="002936FE">
        <w:rPr>
          <w:rFonts w:ascii="Times New Roman" w:hAnsi="Times New Roman" w:cs="Times New Roman"/>
          <w:sz w:val="24"/>
          <w:szCs w:val="24"/>
          <w14:ligatures w14:val="standardContextual"/>
        </w:rPr>
        <w:t xml:space="preserve">Century 2000, Ingersoll and </w:t>
      </w:r>
      <w:proofErr w:type="spellStart"/>
      <w:r w:rsidRPr="002936FE">
        <w:rPr>
          <w:rFonts w:ascii="Times New Roman" w:hAnsi="Times New Roman" w:cs="Times New Roman"/>
          <w:sz w:val="24"/>
          <w:szCs w:val="24"/>
          <w14:ligatures w14:val="standardContextual"/>
        </w:rPr>
        <w:t>Perda</w:t>
      </w:r>
      <w:proofErr w:type="spellEnd"/>
      <w:r w:rsidRPr="002936FE">
        <w:rPr>
          <w:rFonts w:ascii="Times New Roman" w:hAnsi="Times New Roman" w:cs="Times New Roman"/>
          <w:sz w:val="24"/>
          <w:szCs w:val="24"/>
          <w14:ligatures w14:val="standardContextual"/>
        </w:rPr>
        <w:t xml:space="preserve"> 2010).</w:t>
      </w:r>
    </w:p>
    <w:p w14:paraId="20F642C6" w14:textId="77777777" w:rsidR="00412F22" w:rsidRPr="002936FE" w:rsidRDefault="001961A9" w:rsidP="00412F22">
      <w:pPr>
        <w:widowControl w:val="0"/>
        <w:autoSpaceDE w:val="0"/>
        <w:autoSpaceDN w:val="0"/>
        <w:adjustRightInd w:val="0"/>
        <w:spacing w:after="0" w:line="480" w:lineRule="auto"/>
        <w:ind w:firstLine="800"/>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 xml:space="preserve">There is a growing recognition of the importance of improving STEM education (the National Academy of Sciences 2007), and teachers’ unions are an important stakeholder in education production. It is well-established that the unions have a significant impact on education production and teacher compensation providing greater returns to experience, higher starting wages, and working conditions (Cowen and Strunk 2015). Since STEM teachers have better opportunities outside of teaching, the unions have a more substantial role in influencing their retention. For example, Han (2023) shows that weakening collective bargaining (CB) rights leads to disproportionally higher attrition among STEM teachers than non-STEM teachers. Even across gender, the unions are found to affect women differently than men, affecting the dynamics of the gender wage gap (Biasi and Sarsons 2022). Women tend to be less inclined to engage in negotiation and less likely to seek or fight for a more conducive environment for their career progress (Babcock and </w:t>
      </w:r>
      <w:proofErr w:type="spellStart"/>
      <w:r w:rsidRPr="002936FE">
        <w:rPr>
          <w:rFonts w:ascii="Times New Roman" w:hAnsi="Times New Roman" w:cs="Times New Roman"/>
          <w:sz w:val="24"/>
          <w:szCs w:val="24"/>
          <w14:ligatures w14:val="standardContextual"/>
        </w:rPr>
        <w:t>Laschever</w:t>
      </w:r>
      <w:proofErr w:type="spellEnd"/>
      <w:r w:rsidRPr="002936FE">
        <w:rPr>
          <w:rFonts w:ascii="Times New Roman" w:hAnsi="Times New Roman" w:cs="Times New Roman"/>
          <w:sz w:val="24"/>
          <w:szCs w:val="24"/>
          <w14:ligatures w14:val="standardContextual"/>
        </w:rPr>
        <w:t xml:space="preserve"> 2007). Taken together, these studies indicate that the teachers’ unions can affect the compensation of STEM teachers by improving retention rates, which could generate differential effects across gender. In this light, we provide the first investigation into the extent to which CB rights impact the salary of STEM teachers.</w:t>
      </w:r>
    </w:p>
    <w:p w14:paraId="63859325" w14:textId="77777777" w:rsidR="00412F22" w:rsidRPr="002936FE" w:rsidRDefault="001961A9" w:rsidP="00412F22">
      <w:pPr>
        <w:widowControl w:val="0"/>
        <w:autoSpaceDE w:val="0"/>
        <w:autoSpaceDN w:val="0"/>
        <w:adjustRightInd w:val="0"/>
        <w:spacing w:after="0" w:line="480" w:lineRule="auto"/>
        <w:ind w:firstLine="800"/>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lastRenderedPageBreak/>
        <w:t>In order to examine the effect of CB rights on STEM teachers’ earnings, we leverage</w:t>
      </w:r>
      <w:r w:rsidR="00412F22" w:rsidRPr="002936FE">
        <w:rPr>
          <w:rFonts w:ascii="Times New Roman"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recently available information on the field of study in the American Community Survey (ACS),</w:t>
      </w:r>
      <w:r w:rsidR="00412F22" w:rsidRPr="002936FE">
        <w:rPr>
          <w:rFonts w:ascii="Times New Roman"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covering the period 2009-2018. Identifying the effect of teachers’ unions on STEM teachers’</w:t>
      </w:r>
      <w:r w:rsidR="00412F22" w:rsidRPr="002936FE">
        <w:rPr>
          <w:rFonts w:ascii="Times New Roman"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pay is challenging as unobserved heterogeneities determine both unionization across states and</w:t>
      </w:r>
      <w:r w:rsidR="00412F22" w:rsidRPr="002936FE">
        <w:rPr>
          <w:rFonts w:ascii="Times New Roman"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pay jointly. To isolate the effect of collective bargaining (CB) laws on the earnings of STEM</w:t>
      </w:r>
      <w:r w:rsidR="00412F22" w:rsidRPr="002936FE">
        <w:rPr>
          <w:rFonts w:ascii="Times New Roman"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teachers, we first use non-STEM teachers as a base comparison group and examine pay</w:t>
      </w:r>
      <w:r w:rsidR="00412F22" w:rsidRPr="002936FE">
        <w:rPr>
          <w:rFonts w:ascii="Times New Roman"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differentials between STEM and non-STEM teachers in states that mandate versus states that</w:t>
      </w:r>
      <w:r w:rsidR="00412F22" w:rsidRPr="002936FE">
        <w:rPr>
          <w:rFonts w:ascii="Times New Roman"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prohibit collective bargaining. Furthermore, our identification strategy exploits the</w:t>
      </w:r>
      <w:r w:rsidR="00412F22" w:rsidRPr="002936FE">
        <w:rPr>
          <w:rFonts w:ascii="Times New Roman"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discontinuity in CB laws at state borders and estimate models that include the local labor</w:t>
      </w:r>
      <w:r w:rsidR="00412F22" w:rsidRPr="002936FE">
        <w:rPr>
          <w:rFonts w:ascii="Times New Roman"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market fixed effects. By doing so, we utilize variation in state CB laws within the local labor</w:t>
      </w:r>
      <w:r w:rsidR="00412F22" w:rsidRPr="002936FE">
        <w:rPr>
          <w:rFonts w:ascii="Times New Roman"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 xml:space="preserve">market, which we define as commuting zone, controlling for possible </w:t>
      </w:r>
      <w:proofErr w:type="spellStart"/>
      <w:r w:rsidRPr="002936FE">
        <w:rPr>
          <w:rFonts w:ascii="Times New Roman" w:hAnsi="Times New Roman" w:cs="Times New Roman"/>
          <w:sz w:val="24"/>
          <w:szCs w:val="24"/>
          <w14:ligatures w14:val="standardContextual"/>
        </w:rPr>
        <w:t>unobservables</w:t>
      </w:r>
      <w:proofErr w:type="spellEnd"/>
      <w:r w:rsidRPr="002936FE">
        <w:rPr>
          <w:rFonts w:ascii="Times New Roman" w:hAnsi="Times New Roman" w:cs="Times New Roman"/>
          <w:sz w:val="24"/>
          <w:szCs w:val="24"/>
          <w14:ligatures w14:val="standardContextual"/>
        </w:rPr>
        <w:t xml:space="preserve"> that might</w:t>
      </w:r>
      <w:r w:rsidR="00412F22" w:rsidRPr="002936FE">
        <w:rPr>
          <w:rFonts w:ascii="Times New Roman"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be correlated with both CB laws and STEM teacher pay.</w:t>
      </w:r>
    </w:p>
    <w:p w14:paraId="6F7F00DA" w14:textId="77777777" w:rsidR="00412F22" w:rsidRPr="002936FE" w:rsidRDefault="00412F22" w:rsidP="00412F22">
      <w:pPr>
        <w:widowControl w:val="0"/>
        <w:autoSpaceDE w:val="0"/>
        <w:autoSpaceDN w:val="0"/>
        <w:adjustRightInd w:val="0"/>
        <w:spacing w:after="0" w:line="480" w:lineRule="auto"/>
        <w:ind w:firstLine="800"/>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Our results suggest that CB laws have a significantly positive impact on the annual earnings of STEM teachers. Specifically, we find that STEM teachers in CB-mandated states earn approximately 5.75 percent higher earnings compared to otherwise similar teachers in states without bargaining rights. In view of heterogeneous labor markets that men and women face, women’s predominance of the teaching profession, and possible differential roles of unions across genders, we examine the effects for men and women separately.</w:t>
      </w:r>
      <w:r w:rsidRPr="002936FE">
        <w:rPr>
          <w:rStyle w:val="FootnoteReference"/>
          <w:rFonts w:ascii="Times New Roman" w:hAnsi="Times New Roman" w:cs="Times New Roman"/>
          <w:sz w:val="24"/>
          <w:szCs w:val="24"/>
          <w14:ligatures w14:val="standardContextual"/>
        </w:rPr>
        <w:footnoteReference w:id="3"/>
      </w:r>
      <w:r w:rsidRPr="002936FE">
        <w:rPr>
          <w:rFonts w:ascii="Times New Roman" w:eastAsia="CMR8"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Our results show that the effects are concentrated among female teachers. Specifically, CB laws increase the annual earnings of female STEM teachers by nearly 7.4 percent. For male STEM teachers, the effect is imprecisely estimated.</w:t>
      </w:r>
    </w:p>
    <w:p w14:paraId="2A689E73" w14:textId="4D85822D" w:rsidR="00412F22" w:rsidRPr="002936FE" w:rsidRDefault="00412F22" w:rsidP="00412F22">
      <w:pPr>
        <w:widowControl w:val="0"/>
        <w:autoSpaceDE w:val="0"/>
        <w:autoSpaceDN w:val="0"/>
        <w:adjustRightInd w:val="0"/>
        <w:spacing w:after="0" w:line="480" w:lineRule="auto"/>
        <w:ind w:firstLine="800"/>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 xml:space="preserve">Further supplementary analyses provide credence to the causal interpretation of our </w:t>
      </w:r>
      <w:r w:rsidRPr="002936FE">
        <w:rPr>
          <w:rFonts w:ascii="Times New Roman" w:hAnsi="Times New Roman" w:cs="Times New Roman"/>
          <w:sz w:val="24"/>
          <w:szCs w:val="24"/>
          <w14:ligatures w14:val="standardContextual"/>
        </w:rPr>
        <w:lastRenderedPageBreak/>
        <w:t>results. First, our balancing tests suggest that observable characteristics between CB and non-CB areas within commuting zones are balanced. Second, we control for various characteristics that are potentially correlated with CB laws, such as political ideology, local amenities, and economies of size, and our estimates remain almost unchanged. Finally, our results are robust to several alternative measures of union strength.</w:t>
      </w:r>
    </w:p>
    <w:p w14:paraId="170FEE50" w14:textId="77777777" w:rsidR="00CF020A" w:rsidRPr="002936FE" w:rsidRDefault="00412F22" w:rsidP="00CF020A">
      <w:pPr>
        <w:widowControl w:val="0"/>
        <w:autoSpaceDE w:val="0"/>
        <w:autoSpaceDN w:val="0"/>
        <w:adjustRightInd w:val="0"/>
        <w:spacing w:after="0" w:line="480" w:lineRule="auto"/>
        <w:ind w:firstLine="800"/>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In an attempt to identify a potential mechanism behind our findings, we examine the</w:t>
      </w:r>
      <w:r w:rsidR="00CF020A" w:rsidRPr="002936FE">
        <w:rPr>
          <w:rFonts w:ascii="Times New Roman" w:hAnsi="Times New Roman" w:cs="Times New Roman"/>
          <w:sz w:val="24"/>
          <w:szCs w:val="24"/>
          <w14:ligatures w14:val="standardContextual"/>
        </w:rPr>
        <w:t xml:space="preserve"> relationship between CB laws and STEM teachers’ experience. We find that CB laws lead to a longer duration of experience among female STEM teachers, providing suggestive evidence that unions reduce attrition among female STEM teachers. For male teachers, the effect is imprecisely estimated, which is consistent with our baseline finding. Overall, our findings are consistent with studies in literature (e.g., Han 2020).</w:t>
      </w:r>
    </w:p>
    <w:p w14:paraId="67C1DD1B" w14:textId="77777777" w:rsidR="00CF020A" w:rsidRPr="002936FE" w:rsidRDefault="00CF020A" w:rsidP="00CF020A">
      <w:pPr>
        <w:widowControl w:val="0"/>
        <w:autoSpaceDE w:val="0"/>
        <w:autoSpaceDN w:val="0"/>
        <w:adjustRightInd w:val="0"/>
        <w:spacing w:after="0" w:line="480" w:lineRule="auto"/>
        <w:ind w:firstLine="800"/>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In being the first paper to examine the relationship between CB rights and pay for STEM teachers, our study contributes to broadening the understanding of how union bargaining powers affect school resources. Given the critical role of unions and CB rights in the allocation of educational resources and schooling outcomes, a deeper understanding of their full impacts on labor markets for teachers is warranted to improve education policy.</w:t>
      </w:r>
    </w:p>
    <w:p w14:paraId="6396F2B5" w14:textId="38F95020" w:rsidR="00CF020A" w:rsidRPr="002936FE" w:rsidRDefault="00CF020A" w:rsidP="00CF020A">
      <w:pPr>
        <w:widowControl w:val="0"/>
        <w:autoSpaceDE w:val="0"/>
        <w:autoSpaceDN w:val="0"/>
        <w:adjustRightInd w:val="0"/>
        <w:spacing w:after="0" w:line="480" w:lineRule="auto"/>
        <w:ind w:firstLine="800"/>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The paper proceeds as follows. Section 2 previews the literature while Section 3 explains the data and Section 4 presents our empirical strategy and results. We provide robustness checks and a potential mechanism in Section 5. Section 6 concludes.</w:t>
      </w:r>
    </w:p>
    <w:p w14:paraId="3CD9D508" w14:textId="634E2529" w:rsidR="00CF020A" w:rsidRPr="002936FE" w:rsidRDefault="00CF020A" w:rsidP="00CF020A">
      <w:pPr>
        <w:pStyle w:val="ListParagraph"/>
        <w:widowControl w:val="0"/>
        <w:numPr>
          <w:ilvl w:val="0"/>
          <w:numId w:val="1"/>
        </w:numPr>
        <w:autoSpaceDE w:val="0"/>
        <w:autoSpaceDN w:val="0"/>
        <w:adjustRightInd w:val="0"/>
        <w:spacing w:after="0" w:line="480" w:lineRule="auto"/>
        <w:ind w:leftChars="0"/>
        <w:jc w:val="both"/>
        <w:rPr>
          <w:rFonts w:ascii="Times New Roman" w:hAnsi="Times New Roman" w:cs="Times New Roman"/>
          <w:b/>
          <w:bCs/>
          <w:sz w:val="24"/>
          <w:szCs w:val="24"/>
          <w14:ligatures w14:val="standardContextual"/>
        </w:rPr>
      </w:pPr>
      <w:r w:rsidRPr="002936FE">
        <w:rPr>
          <w:rFonts w:ascii="Times New Roman" w:hAnsi="Times New Roman" w:cs="Times New Roman"/>
          <w:b/>
          <w:bCs/>
          <w:sz w:val="24"/>
          <w:szCs w:val="24"/>
          <w14:ligatures w14:val="standardContextual"/>
        </w:rPr>
        <w:t>Previous Literature</w:t>
      </w:r>
    </w:p>
    <w:p w14:paraId="6D0D6442" w14:textId="3C817A3B" w:rsidR="00CF020A" w:rsidRPr="002936FE" w:rsidRDefault="00CF020A" w:rsidP="00B830DF">
      <w:pPr>
        <w:widowControl w:val="0"/>
        <w:autoSpaceDE w:val="0"/>
        <w:autoSpaceDN w:val="0"/>
        <w:adjustRightInd w:val="0"/>
        <w:spacing w:line="480" w:lineRule="auto"/>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 xml:space="preserve">Being influential and important parts of American public education, teachers’ unions possess significant political bargaining power that allows them to influence several outcomes in the labor market for teachers. Several strands of the literature seek to understand the consequences of the unions across various dimensions, and our paper builds and expands </w:t>
      </w:r>
      <w:r w:rsidRPr="002936FE">
        <w:rPr>
          <w:rFonts w:ascii="Times New Roman" w:hAnsi="Times New Roman" w:cs="Times New Roman"/>
          <w:sz w:val="24"/>
          <w:szCs w:val="24"/>
          <w14:ligatures w14:val="standardContextual"/>
        </w:rPr>
        <w:lastRenderedPageBreak/>
        <w:t>upon three existing strands discussed below.</w:t>
      </w:r>
      <w:r w:rsidRPr="002936FE">
        <w:rPr>
          <w:rStyle w:val="FootnoteReference"/>
          <w:rFonts w:ascii="Times New Roman" w:hAnsi="Times New Roman" w:cs="Times New Roman"/>
          <w:sz w:val="24"/>
          <w:szCs w:val="24"/>
          <w14:ligatures w14:val="standardContextual"/>
        </w:rPr>
        <w:footnoteReference w:id="4"/>
      </w:r>
    </w:p>
    <w:p w14:paraId="06C0A8E9" w14:textId="77777777" w:rsidR="00CF020A" w:rsidRPr="002936FE" w:rsidRDefault="00CF020A" w:rsidP="00B830DF">
      <w:pPr>
        <w:widowControl w:val="0"/>
        <w:autoSpaceDE w:val="0"/>
        <w:autoSpaceDN w:val="0"/>
        <w:adjustRightInd w:val="0"/>
        <w:spacing w:line="480" w:lineRule="auto"/>
        <w:jc w:val="both"/>
        <w:rPr>
          <w:rFonts w:ascii="Times New Roman"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Teacher compensation:</w:t>
      </w:r>
      <w:r w:rsidRPr="002936FE">
        <w:rPr>
          <w:rFonts w:ascii="Times New Roman" w:eastAsia="CMBX12" w:hAnsi="Times New Roman" w:cs="Times New Roman"/>
          <w:sz w:val="24"/>
          <w:szCs w:val="24"/>
          <w14:ligatures w14:val="standardContextual"/>
        </w:rPr>
        <w:t xml:space="preserve"> One integral objective of teachers’ unions is to bargain for higher </w:t>
      </w:r>
      <w:r w:rsidRPr="002936FE">
        <w:rPr>
          <w:rFonts w:ascii="Times New Roman" w:hAnsi="Times New Roman" w:cs="Times New Roman"/>
          <w:sz w:val="24"/>
          <w:szCs w:val="24"/>
          <w14:ligatures w14:val="standardContextual"/>
        </w:rPr>
        <w:t xml:space="preserve">salary and other aspects of compensation, including returns to experience. Overwhelming evidence supports the notion that unions play a key role in increasing the overall salaries of teachers. Earlier studies suggest that unions and their collective bargaining powers are associated with teachers’ wage premiums ranging from 3 to 20% (e.g., Baugh and Stone 1982, Freeman and Valletta 1988, Baugh and Stone 1982). More recent studies, however, find mixed results. For example, Hoxby (1996) estimates that unions raise teacher salaries by 5 percent. On the other hand, </w:t>
      </w:r>
      <w:proofErr w:type="spellStart"/>
      <w:r w:rsidRPr="002936FE">
        <w:rPr>
          <w:rFonts w:ascii="Times New Roman" w:hAnsi="Times New Roman" w:cs="Times New Roman"/>
          <w:sz w:val="24"/>
          <w:szCs w:val="24"/>
          <w14:ligatures w14:val="standardContextual"/>
        </w:rPr>
        <w:t>Lovenheim</w:t>
      </w:r>
      <w:proofErr w:type="spellEnd"/>
      <w:r w:rsidRPr="002936FE">
        <w:rPr>
          <w:rFonts w:ascii="Times New Roman" w:hAnsi="Times New Roman" w:cs="Times New Roman"/>
          <w:sz w:val="24"/>
          <w:szCs w:val="24"/>
          <w14:ligatures w14:val="standardContextual"/>
        </w:rPr>
        <w:t xml:space="preserve"> (2009) finds that unions lead to a negligible impact on teachers’ compensation. Similarly, Frandsen (2016) uses the variation in the adoption of collective bargaining rights across the United States to estimate the effect on public employees’ pay and finds little effect on teachers’ pay. Freeman and Han (2012) report a 2.4 percent wage penalty for teachers in non-mandatory collective bargaining states. Leveraging a research design that considers the discontinuity in CB laws across state borders, Brunner and Ju (2019) discover that collective bargaining laws increase teachers’ pay by approximately 10 percent. Beyond starting salaries, unions affect several aspects of compensation. West (2015) finds evidence of unions providing greater returns to experience and offering rewards for having a master’s degree, national board certification, and seeking professional development. Existing literature analyzes all teachers as a whole, but it is plausible that the unions could affect teachers </w:t>
      </w:r>
      <w:r w:rsidRPr="002936FE">
        <w:rPr>
          <w:rFonts w:ascii="Times New Roman" w:hAnsi="Times New Roman" w:cs="Times New Roman"/>
          <w:sz w:val="24"/>
          <w:szCs w:val="24"/>
          <w14:ligatures w14:val="standardContextual"/>
        </w:rPr>
        <w:lastRenderedPageBreak/>
        <w:t>differently depending on their type. We contribute to this line of the literature by examining whether the unions affect the earnings of STEM teachers differently.</w:t>
      </w:r>
    </w:p>
    <w:p w14:paraId="4CF310FC" w14:textId="77777777" w:rsidR="00CF020A" w:rsidRPr="002936FE" w:rsidRDefault="00CF020A" w:rsidP="00CF020A">
      <w:pPr>
        <w:widowControl w:val="0"/>
        <w:autoSpaceDE w:val="0"/>
        <w:autoSpaceDN w:val="0"/>
        <w:adjustRightInd w:val="0"/>
        <w:spacing w:after="0" w:line="480" w:lineRule="auto"/>
        <w:jc w:val="both"/>
        <w:rPr>
          <w:rFonts w:ascii="Times New Roman"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Teacher Workforce:</w:t>
      </w:r>
      <w:r w:rsidRPr="002936FE">
        <w:rPr>
          <w:rFonts w:ascii="Times New Roman" w:eastAsia="CMBX12" w:hAnsi="Times New Roman" w:cs="Times New Roman"/>
          <w:sz w:val="24"/>
          <w:szCs w:val="24"/>
          <w14:ligatures w14:val="standardContextual"/>
        </w:rPr>
        <w:t xml:space="preserve"> In line with the role of teachers’ unions in altering working conditions and</w:t>
      </w:r>
      <w:r w:rsidRPr="002936FE">
        <w:rPr>
          <w:rFonts w:ascii="Times New Roman" w:hAnsi="Times New Roman" w:cs="Times New Roman"/>
          <w:sz w:val="24"/>
          <w:szCs w:val="24"/>
          <w14:ligatures w14:val="standardContextual"/>
        </w:rPr>
        <w:t xml:space="preserve"> </w:t>
      </w:r>
      <w:r w:rsidRPr="002936FE">
        <w:rPr>
          <w:rFonts w:ascii="Times New Roman" w:eastAsia="CMBX12" w:hAnsi="Times New Roman" w:cs="Times New Roman"/>
          <w:sz w:val="24"/>
          <w:szCs w:val="24"/>
          <w14:ligatures w14:val="standardContextual"/>
        </w:rPr>
        <w:t>advancing compensation schemes based on seniority and credentials rather than performance,</w:t>
      </w:r>
      <w:r w:rsidRPr="002936FE">
        <w:rPr>
          <w:rFonts w:ascii="Times New Roman" w:hAnsi="Times New Roman" w:cs="Times New Roman"/>
          <w:sz w:val="24"/>
          <w:szCs w:val="24"/>
          <w14:ligatures w14:val="standardContextual"/>
        </w:rPr>
        <w:t xml:space="preserve"> </w:t>
      </w:r>
      <w:r w:rsidRPr="002936FE">
        <w:rPr>
          <w:rFonts w:ascii="Times New Roman" w:eastAsia="CMBX12" w:hAnsi="Times New Roman" w:cs="Times New Roman"/>
          <w:sz w:val="24"/>
          <w:szCs w:val="24"/>
          <w14:ligatures w14:val="standardContextual"/>
        </w:rPr>
        <w:t>unionization tends to affect the composition and nature of teacher workforce (e.g., Grissom and</w:t>
      </w:r>
      <w:r w:rsidRPr="002936FE">
        <w:rPr>
          <w:rFonts w:ascii="Times New Roman" w:hAnsi="Times New Roman" w:cs="Times New Roman"/>
          <w:sz w:val="24"/>
          <w:szCs w:val="24"/>
          <w14:ligatures w14:val="standardContextual"/>
        </w:rPr>
        <w:t xml:space="preserve"> </w:t>
      </w:r>
      <w:r w:rsidRPr="002936FE">
        <w:rPr>
          <w:rFonts w:ascii="Times New Roman" w:eastAsia="CMBX12" w:hAnsi="Times New Roman" w:cs="Times New Roman"/>
          <w:sz w:val="24"/>
          <w:szCs w:val="24"/>
          <w14:ligatures w14:val="standardContextual"/>
        </w:rPr>
        <w:t>Strunk 2012). Given the literature finding on the significance of relatively smaller monetary</w:t>
      </w:r>
      <w:r w:rsidRPr="002936FE">
        <w:rPr>
          <w:rFonts w:ascii="Times New Roman" w:hAnsi="Times New Roman" w:cs="Times New Roman"/>
          <w:sz w:val="24"/>
          <w:szCs w:val="24"/>
          <w14:ligatures w14:val="standardContextual"/>
        </w:rPr>
        <w:t xml:space="preserve"> </w:t>
      </w:r>
      <w:r w:rsidRPr="002936FE">
        <w:rPr>
          <w:rFonts w:ascii="Times New Roman" w:eastAsia="CMBX12" w:hAnsi="Times New Roman" w:cs="Times New Roman"/>
          <w:sz w:val="24"/>
          <w:szCs w:val="24"/>
          <w14:ligatures w14:val="standardContextual"/>
        </w:rPr>
        <w:t>rewards in retaining math and science teachers, an increase in salary associated with the unions</w:t>
      </w:r>
      <w:r w:rsidRPr="002936FE">
        <w:rPr>
          <w:rFonts w:ascii="Times New Roman" w:hAnsi="Times New Roman" w:cs="Times New Roman"/>
          <w:sz w:val="24"/>
          <w:szCs w:val="24"/>
          <w14:ligatures w14:val="standardContextual"/>
        </w:rPr>
        <w:t xml:space="preserve"> </w:t>
      </w:r>
      <w:r w:rsidRPr="002936FE">
        <w:rPr>
          <w:rFonts w:ascii="Times New Roman" w:eastAsia="CMBX12" w:hAnsi="Times New Roman" w:cs="Times New Roman"/>
          <w:sz w:val="24"/>
          <w:szCs w:val="24"/>
          <w14:ligatures w14:val="standardContextual"/>
        </w:rPr>
        <w:t>can help to retain STEM teachers.</w:t>
      </w:r>
      <w:r w:rsidRPr="002936FE">
        <w:rPr>
          <w:rStyle w:val="FootnoteReference"/>
          <w:rFonts w:ascii="Times New Roman" w:eastAsia="CMBX12" w:hAnsi="Times New Roman" w:cs="Times New Roman"/>
          <w:sz w:val="24"/>
          <w:szCs w:val="24"/>
          <w14:ligatures w14:val="standardContextual"/>
        </w:rPr>
        <w:footnoteReference w:id="5"/>
      </w:r>
    </w:p>
    <w:p w14:paraId="3B0FB02A" w14:textId="77777777" w:rsidR="00CF020A" w:rsidRPr="002936FE" w:rsidRDefault="00CF020A" w:rsidP="00CF020A">
      <w:pPr>
        <w:widowControl w:val="0"/>
        <w:autoSpaceDE w:val="0"/>
        <w:autoSpaceDN w:val="0"/>
        <w:adjustRightInd w:val="0"/>
        <w:spacing w:after="0" w:line="480" w:lineRule="auto"/>
        <w:ind w:firstLine="800"/>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 xml:space="preserve">In addition to compensation, another channel through which unions affect teacher retention, attrition, and turnover rates is by altering the working environment. Studies commonly find that unions are associated with increased teacher retention and reduced quit rates (e.g., Johnson, Berg, and Donaldson 2005, Roth 2019). These studies support such findings by arguing that unions improve communication between teachers and school districts by providing a “voice” channel, through which teachers can express their concerns and preferences (Garcia, Han, and Weiss 2022). Hartney and Flavin (2011) use political activity of teachers’ unions as a measure of teacher union power and show that unions are associated with lowering chances of adopting reform-oriented education policies. This could make teaching tasks relatively manageable and increase the attraction of teachers to the profession. Additionally, </w:t>
      </w:r>
      <w:proofErr w:type="spellStart"/>
      <w:r w:rsidRPr="002936FE">
        <w:rPr>
          <w:rFonts w:ascii="Times New Roman" w:hAnsi="Times New Roman" w:cs="Times New Roman"/>
          <w:sz w:val="24"/>
          <w:szCs w:val="24"/>
          <w14:ligatures w14:val="standardContextual"/>
        </w:rPr>
        <w:t>Figlio</w:t>
      </w:r>
      <w:proofErr w:type="spellEnd"/>
      <w:r w:rsidRPr="002936FE">
        <w:rPr>
          <w:rFonts w:ascii="Times New Roman" w:hAnsi="Times New Roman" w:cs="Times New Roman"/>
          <w:sz w:val="24"/>
          <w:szCs w:val="24"/>
          <w14:ligatures w14:val="standardContextual"/>
        </w:rPr>
        <w:t xml:space="preserve"> (2002) provides suggestive evidence that unions offer non-pecuniary benefits to teachers, such as a reduction in unique course preparations.</w:t>
      </w:r>
    </w:p>
    <w:p w14:paraId="06A4574C" w14:textId="0D1C49DB" w:rsidR="00CF020A" w:rsidRPr="002936FE" w:rsidRDefault="00CF020A" w:rsidP="00B830DF">
      <w:pPr>
        <w:widowControl w:val="0"/>
        <w:autoSpaceDE w:val="0"/>
        <w:autoSpaceDN w:val="0"/>
        <w:adjustRightInd w:val="0"/>
        <w:spacing w:line="480" w:lineRule="auto"/>
        <w:ind w:firstLine="800"/>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 xml:space="preserve">More relevant to our study is a small literature that discusses the relationship between </w:t>
      </w:r>
      <w:r w:rsidRPr="002936FE">
        <w:rPr>
          <w:rFonts w:ascii="Times New Roman" w:hAnsi="Times New Roman" w:cs="Times New Roman"/>
          <w:sz w:val="24"/>
          <w:szCs w:val="24"/>
          <w14:ligatures w14:val="standardContextual"/>
        </w:rPr>
        <w:lastRenderedPageBreak/>
        <w:t xml:space="preserve">teacher unions and retention among STEM teachers. Ingersoll and </w:t>
      </w:r>
      <w:proofErr w:type="spellStart"/>
      <w:r w:rsidRPr="002936FE">
        <w:rPr>
          <w:rFonts w:ascii="Times New Roman" w:hAnsi="Times New Roman" w:cs="Times New Roman"/>
          <w:sz w:val="24"/>
          <w:szCs w:val="24"/>
          <w14:ligatures w14:val="standardContextual"/>
        </w:rPr>
        <w:t>Perda</w:t>
      </w:r>
      <w:proofErr w:type="spellEnd"/>
      <w:r w:rsidRPr="002936FE">
        <w:rPr>
          <w:rFonts w:ascii="Times New Roman" w:hAnsi="Times New Roman" w:cs="Times New Roman"/>
          <w:sz w:val="24"/>
          <w:szCs w:val="24"/>
          <w14:ligatures w14:val="standardContextual"/>
        </w:rPr>
        <w:t xml:space="preserve"> (2010) discuss that the most acute teacher shortages are in the STEM fields and attrition continues to be a major concern for schools in the United States. Using district-teacher matched data, Han (2023) finds that restricting collective bargaining increases teacher attrition, especially for male STEM teachers. Often, the argument made in this literature suggests that this is primarily due to a large wage penalty faced by current teachers which impacts the size and quality of the STEM teacher workforce (Dee and Goldhaber 2017, Hansen, Breazeale, and Blankenship 2019). Furthermore, Anzia and Moe (2014) suggest that seniority rules embedded in CB contracts facilitate experienced teachers’ transfer to more favorable schools within a school district, potentially explaining why teacher unions influence teacher attrition rates by changing teachers’ working environment. Our findings, which appear to be driven by an increased experience of teachers associated with collective bargaining, have implications for this strand of literature.</w:t>
      </w:r>
    </w:p>
    <w:p w14:paraId="5C0450A5" w14:textId="77777777" w:rsidR="00B830DF" w:rsidRPr="002936FE" w:rsidRDefault="00B830DF" w:rsidP="00B830DF">
      <w:pPr>
        <w:widowControl w:val="0"/>
        <w:autoSpaceDE w:val="0"/>
        <w:autoSpaceDN w:val="0"/>
        <w:adjustRightInd w:val="0"/>
        <w:spacing w:after="0" w:line="480" w:lineRule="auto"/>
        <w:jc w:val="both"/>
        <w:rPr>
          <w:rFonts w:ascii="Times New Roman"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 xml:space="preserve">Gender </w:t>
      </w:r>
      <w:proofErr w:type="gramStart"/>
      <w:r w:rsidRPr="002936FE">
        <w:rPr>
          <w:rFonts w:ascii="Times New Roman" w:eastAsia="CMBX12" w:hAnsi="Times New Roman" w:cs="Times New Roman"/>
          <w:b/>
          <w:bCs/>
          <w:sz w:val="24"/>
          <w:szCs w:val="24"/>
          <w14:ligatures w14:val="standardContextual"/>
        </w:rPr>
        <w:t>pay</w:t>
      </w:r>
      <w:proofErr w:type="gramEnd"/>
      <w:r w:rsidRPr="002936FE">
        <w:rPr>
          <w:rFonts w:ascii="Times New Roman" w:eastAsia="CMBX12" w:hAnsi="Times New Roman" w:cs="Times New Roman"/>
          <w:b/>
          <w:bCs/>
          <w:sz w:val="24"/>
          <w:szCs w:val="24"/>
          <w14:ligatures w14:val="standardContextual"/>
        </w:rPr>
        <w:t xml:space="preserve"> gap</w:t>
      </w:r>
      <w:r w:rsidRPr="002936FE">
        <w:rPr>
          <w:rFonts w:ascii="Times New Roman" w:eastAsia="CMBX12" w:hAnsi="Times New Roman" w:cs="Times New Roman"/>
          <w:sz w:val="24"/>
          <w:szCs w:val="24"/>
          <w14:ligatures w14:val="standardContextual"/>
        </w:rPr>
        <w:t>. Our paper is also closely related to the studies that examine the role of</w:t>
      </w:r>
      <w:r w:rsidRPr="002936FE">
        <w:rPr>
          <w:rFonts w:ascii="Times New Roman" w:hAnsi="Times New Roman" w:cs="Times New Roman"/>
          <w:sz w:val="24"/>
          <w:szCs w:val="24"/>
          <w14:ligatures w14:val="standardContextual"/>
        </w:rPr>
        <w:t xml:space="preserve"> teachers’ unions on the gender pay gap. Cahen (2019) uses the American Community Survey to estimate the impact of collective bargaining policies on public employee compensation. Her results indicate that collective bargaining restrictions lead to approximately 4-5% wage penalty for female public sector workers and argues that women are more likely to face structural pay discrimination when CB rights are restricted. Han (2020) focuses on public school teachers and finds that teachers unions greatly reduce the gender pay gap. The finding was pronounced in large school districts, where teacher union power would be at its highest. Using quasi-exogenous variation in the timing of the expiration of CB rights in Wisconsin, Biasi and Sarsons (2022) show that flexible pay lowered the salaries of female teachers compared to otherwise similar male teachers. The authors highlight that such an increase in pay gap is driven by female teachers engaging less frequently in negotiation over salary. Consistent with the </w:t>
      </w:r>
      <w:r w:rsidRPr="002936FE">
        <w:rPr>
          <w:rFonts w:ascii="Times New Roman" w:hAnsi="Times New Roman" w:cs="Times New Roman"/>
          <w:sz w:val="24"/>
          <w:szCs w:val="24"/>
          <w14:ligatures w14:val="standardContextual"/>
        </w:rPr>
        <w:lastRenderedPageBreak/>
        <w:t>literature, we provide evidence of CB rights affecting the salaries of STEM teachers differently across gender, thus deepening the understanding of the role of unions in the gender pay gap.</w:t>
      </w:r>
    </w:p>
    <w:p w14:paraId="1E58180D" w14:textId="50CBBCAF" w:rsidR="00B830DF" w:rsidRPr="002936FE" w:rsidRDefault="00B830DF" w:rsidP="00B830DF">
      <w:pPr>
        <w:widowControl w:val="0"/>
        <w:autoSpaceDE w:val="0"/>
        <w:autoSpaceDN w:val="0"/>
        <w:adjustRightInd w:val="0"/>
        <w:spacing w:after="0" w:line="480" w:lineRule="auto"/>
        <w:ind w:firstLine="800"/>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Overall, our study contributes in several ways to the ongoing debates in literature on teachers’ unions. Not only are we the first to explore the role of teachers’ unions on STEM teachers’ pay, but we also carefully control for any unobservable factors, education policies, and economic conditions. We do so by comparing the wage differentials between otherwise similar STEM and non-STEM teachers and by controlling for the local labor market.</w:t>
      </w:r>
    </w:p>
    <w:p w14:paraId="637E7032" w14:textId="31389D23" w:rsidR="00B830DF" w:rsidRPr="002936FE" w:rsidRDefault="00B830DF" w:rsidP="00B830DF">
      <w:pPr>
        <w:pStyle w:val="ListParagraph"/>
        <w:widowControl w:val="0"/>
        <w:numPr>
          <w:ilvl w:val="0"/>
          <w:numId w:val="1"/>
        </w:numPr>
        <w:autoSpaceDE w:val="0"/>
        <w:autoSpaceDN w:val="0"/>
        <w:adjustRightInd w:val="0"/>
        <w:spacing w:after="0" w:line="480" w:lineRule="auto"/>
        <w:ind w:leftChars="0"/>
        <w:jc w:val="both"/>
        <w:rPr>
          <w:rFonts w:ascii="Times New Roman" w:hAnsi="Times New Roman" w:cs="Times New Roman"/>
          <w:b/>
          <w:bCs/>
          <w:sz w:val="24"/>
          <w:szCs w:val="24"/>
          <w14:ligatures w14:val="standardContextual"/>
        </w:rPr>
      </w:pPr>
      <w:r w:rsidRPr="002936FE">
        <w:rPr>
          <w:rFonts w:ascii="Times New Roman" w:hAnsi="Times New Roman" w:cs="Times New Roman"/>
          <w:b/>
          <w:bCs/>
          <w:sz w:val="24"/>
          <w:szCs w:val="24"/>
          <w14:ligatures w14:val="standardContextual"/>
        </w:rPr>
        <w:t>Data</w:t>
      </w:r>
    </w:p>
    <w:p w14:paraId="6B8FE678" w14:textId="77777777" w:rsidR="00B830DF" w:rsidRPr="002936FE" w:rsidRDefault="00B830DF" w:rsidP="00B830DF">
      <w:pPr>
        <w:widowControl w:val="0"/>
        <w:autoSpaceDE w:val="0"/>
        <w:autoSpaceDN w:val="0"/>
        <w:adjustRightInd w:val="0"/>
        <w:spacing w:after="0" w:line="480" w:lineRule="auto"/>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Our primary data come from the 2009-2018 American Community Survey extracted from the Integrated Public Use Microdata Series (Ruggles et al. 2019). Two features of the ACS are particularly essential for the context of our research design. First, the ACS began reporting individuals’ fields of study in 2009, making it possible to identify potential STEM teachers.</w:t>
      </w:r>
      <w:r w:rsidRPr="002936FE">
        <w:rPr>
          <w:rStyle w:val="FootnoteReference"/>
          <w:rFonts w:ascii="Times New Roman" w:hAnsi="Times New Roman" w:cs="Times New Roman"/>
          <w:sz w:val="24"/>
          <w:szCs w:val="24"/>
          <w14:ligatures w14:val="standardContextual"/>
        </w:rPr>
        <w:footnoteReference w:id="6"/>
      </w:r>
      <w:r w:rsidRPr="002936FE">
        <w:rPr>
          <w:rFonts w:ascii="Times New Roman" w:eastAsia="CMR8"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We follow the Department of Homeland Security’s STEM Designated Degree Program list to classify majors into the list of STEM majors.</w:t>
      </w:r>
      <w:r w:rsidRPr="002936FE">
        <w:rPr>
          <w:rStyle w:val="FootnoteReference"/>
          <w:rFonts w:ascii="Times New Roman" w:hAnsi="Times New Roman" w:cs="Times New Roman"/>
          <w:sz w:val="24"/>
          <w:szCs w:val="24"/>
          <w14:ligatures w14:val="standardContextual"/>
        </w:rPr>
        <w:footnoteReference w:id="7"/>
      </w:r>
      <w:r w:rsidRPr="002936FE">
        <w:rPr>
          <w:rFonts w:ascii="Times New Roman" w:eastAsia="CMR8"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In cases where there is no perfect mapping from this list to the ACS’s list of college majors, we assign majors to the list of STEM majors. We present the complete list of STEM majors in Table A7. Second, the ACS is a nationwide survey based on a one percent random sample of the population. Thus, it provides a discernibly larger sample size compared to other household surveys, such as the Current Population Survey, enabling us to use the comparison of earnings in the local labor market.</w:t>
      </w:r>
    </w:p>
    <w:p w14:paraId="3DD3421A" w14:textId="77777777" w:rsidR="002E6946" w:rsidRPr="002936FE" w:rsidRDefault="00B830DF" w:rsidP="002E6946">
      <w:pPr>
        <w:widowControl w:val="0"/>
        <w:autoSpaceDE w:val="0"/>
        <w:autoSpaceDN w:val="0"/>
        <w:adjustRightInd w:val="0"/>
        <w:spacing w:after="0" w:line="480" w:lineRule="auto"/>
        <w:ind w:firstLine="800"/>
        <w:jc w:val="both"/>
        <w:rPr>
          <w:rFonts w:ascii="Times New Roman" w:hAnsi="Times New Roman" w:cs="Times New Roman"/>
          <w:sz w:val="24"/>
          <w:szCs w:val="24"/>
          <w14:ligatures w14:val="standardContextual"/>
        </w:rPr>
      </w:pPr>
      <w:r w:rsidRPr="002936FE">
        <w:rPr>
          <w:rFonts w:ascii="Times New Roman" w:hAnsi="Times New Roman" w:cs="Times New Roman"/>
          <w:sz w:val="24"/>
          <w:szCs w:val="24"/>
          <w14:ligatures w14:val="standardContextual"/>
        </w:rPr>
        <w:t xml:space="preserve">Using the variable “OCC1990” that uses the 1990 Census Bureau occupational classification scheme, we define teachers as those who report being primary school teachers, secondary school teachers, and special education teachers. We exclude private school teachers </w:t>
      </w:r>
      <w:r w:rsidRPr="002936FE">
        <w:rPr>
          <w:rFonts w:ascii="Times New Roman" w:hAnsi="Times New Roman" w:cs="Times New Roman"/>
          <w:sz w:val="24"/>
          <w:szCs w:val="24"/>
          <w14:ligatures w14:val="standardContextual"/>
        </w:rPr>
        <w:lastRenderedPageBreak/>
        <w:t>as they are not subject to collective bargaining laws and have different working environments and salary schedules. We also drop teachers who classify themselves into “</w:t>
      </w:r>
      <w:r w:rsidRPr="002936FE">
        <w:rPr>
          <w:rFonts w:ascii="Times New Roman" w:eastAsia="CMTI12" w:hAnsi="Times New Roman" w:cs="Times New Roman"/>
          <w:sz w:val="24"/>
          <w:szCs w:val="24"/>
          <w14:ligatures w14:val="standardContextual"/>
        </w:rPr>
        <w:t>kindergarten and earlier school</w:t>
      </w:r>
      <w:r w:rsidRPr="002936FE">
        <w:rPr>
          <w:rFonts w:ascii="Times New Roman" w:hAnsi="Times New Roman" w:cs="Times New Roman"/>
          <w:sz w:val="24"/>
          <w:szCs w:val="24"/>
          <w14:ligatures w14:val="standardContextual"/>
        </w:rPr>
        <w:t>” and “</w:t>
      </w:r>
      <w:r w:rsidRPr="002936FE">
        <w:rPr>
          <w:rFonts w:ascii="Times New Roman" w:eastAsia="CMTI12" w:hAnsi="Times New Roman" w:cs="Times New Roman"/>
          <w:sz w:val="24"/>
          <w:szCs w:val="24"/>
          <w14:ligatures w14:val="standardContextual"/>
        </w:rPr>
        <w:t>teachers not mentioned elsewhere</w:t>
      </w:r>
      <w:r w:rsidRPr="002936FE">
        <w:rPr>
          <w:rFonts w:ascii="Times New Roman" w:hAnsi="Times New Roman" w:cs="Times New Roman"/>
          <w:sz w:val="24"/>
          <w:szCs w:val="24"/>
          <w14:ligatures w14:val="standardContextual"/>
        </w:rPr>
        <w:t>” from the data.</w:t>
      </w:r>
      <w:r w:rsidRPr="002936FE">
        <w:rPr>
          <w:rStyle w:val="FootnoteReference"/>
          <w:rFonts w:ascii="Times New Roman" w:hAnsi="Times New Roman" w:cs="Times New Roman"/>
          <w:sz w:val="24"/>
          <w:szCs w:val="24"/>
          <w14:ligatures w14:val="standardContextual"/>
        </w:rPr>
        <w:footnoteReference w:id="8"/>
      </w:r>
      <w:r w:rsidRPr="002936FE">
        <w:rPr>
          <w:rFonts w:ascii="Times New Roman" w:eastAsia="CMR8" w:hAnsi="Times New Roman" w:cs="Times New Roman"/>
          <w:sz w:val="24"/>
          <w:szCs w:val="24"/>
          <w14:ligatures w14:val="standardContextual"/>
        </w:rPr>
        <w:t xml:space="preserve"> </w:t>
      </w:r>
      <w:r w:rsidRPr="002936FE">
        <w:rPr>
          <w:rFonts w:ascii="Times New Roman" w:hAnsi="Times New Roman" w:cs="Times New Roman"/>
          <w:sz w:val="24"/>
          <w:szCs w:val="24"/>
          <w14:ligatures w14:val="standardContextual"/>
        </w:rPr>
        <w:t>The rationale behind this is that we cannot ascertain whether they are full-time regular schoolteachers or represent non-school teachers such as private tutors. Additionally, we restrict the sample to ages 25-54, a group of prime age working people, with a bachelor’s degree or higher since the teaching profession requires at least a four-year college degree.</w:t>
      </w:r>
      <w:r w:rsidRPr="002936FE">
        <w:rPr>
          <w:rStyle w:val="FootnoteReference"/>
          <w:rFonts w:ascii="Times New Roman" w:hAnsi="Times New Roman" w:cs="Times New Roman"/>
          <w:sz w:val="24"/>
          <w:szCs w:val="24"/>
          <w14:ligatures w14:val="standardContextual"/>
        </w:rPr>
        <w:footnoteReference w:id="9"/>
      </w:r>
    </w:p>
    <w:p w14:paraId="53C52197" w14:textId="77777777" w:rsidR="002E6946" w:rsidRPr="002936FE" w:rsidRDefault="002E6946" w:rsidP="002E6946">
      <w:pPr>
        <w:widowControl w:val="0"/>
        <w:autoSpaceDE w:val="0"/>
        <w:autoSpaceDN w:val="0"/>
        <w:adjustRightInd w:val="0"/>
        <w:spacing w:after="0" w:line="480" w:lineRule="auto"/>
        <w:ind w:firstLine="80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The ACS provides individuals’ annual earnings which is their pre-tax salary received from</w:t>
      </w:r>
      <w:r w:rsidRPr="002936FE">
        <w:rPr>
          <w:rFonts w:ascii="Times New Roman"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an employer over the past 12 months. We convert annual incomes to 2009 dollars using the</w:t>
      </w:r>
      <w:r w:rsidRPr="002936FE">
        <w:rPr>
          <w:rFonts w:ascii="Times New Roman"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Consumer Price Index (CPI) for All Urban Consumers. We drop workers whose earnings are</w:t>
      </w:r>
      <w:r w:rsidRPr="002936FE">
        <w:rPr>
          <w:rFonts w:ascii="Times New Roman"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imputed to prevent our estimates from being biased by imputation (see Bollinger and Hirsch</w:t>
      </w:r>
      <w:r w:rsidRPr="002936FE">
        <w:rPr>
          <w:rFonts w:ascii="Times New Roman"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2006 for details regarding biases caused by earnings imputations in household surveys).</w:t>
      </w:r>
    </w:p>
    <w:p w14:paraId="588E66EB" w14:textId="77777777" w:rsidR="002E6946" w:rsidRPr="002936FE" w:rsidRDefault="002E6946" w:rsidP="002E6946">
      <w:pPr>
        <w:widowControl w:val="0"/>
        <w:autoSpaceDE w:val="0"/>
        <w:autoSpaceDN w:val="0"/>
        <w:adjustRightInd w:val="0"/>
        <w:spacing w:after="0" w:line="480" w:lineRule="auto"/>
        <w:ind w:firstLine="80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We analyze the STEM teachers’ earnings in a local labor market defined as a commuting zone (CZ). A CZ comprising multiple counties is defined on the basis of journey-to-work data. The most granular level of geographical identification available in the ACS data is the Public Use Microdata Area (PUMA), which comprises a county or cluster of counties. PUMAs’ delineations are based on the population data from the most recent decennial census and are updated every 10 years. Out of our sample period, 2009 to 2011 are based on the 2000 Census, and the years afterward on the 2010 Census. We use two different types of crosswalks to allocate PUMAs to CZs. We follow Autor and Dorn (2013) for the 2009-2011 period, and for the 2012-2018 period, we use Autor, Dorn, and Hanson (2019). One issue that needs to be highlighted is that some PUMAs straddle across multiple counties possibly being stratified into </w:t>
      </w:r>
      <w:r w:rsidRPr="002936FE">
        <w:rPr>
          <w:rFonts w:ascii="Times New Roman" w:eastAsia="CMR12" w:hAnsi="Times New Roman" w:cs="Times New Roman"/>
          <w:sz w:val="24"/>
          <w:szCs w:val="24"/>
          <w14:ligatures w14:val="standardContextual"/>
        </w:rPr>
        <w:lastRenderedPageBreak/>
        <w:t>different CZs. This leads to a possibility of those PUMAs being mapped into more than one CZ. We allocate these PUMAs to all possible CZs. Hence, individuals from those PUMAs appear multiple times in our sample. We account for multiple reappearances by weighting by the proportional probability of each individual from each PUMA belonging to a given CZ, as in Autor, Dorn, and Hanson (2019). On top of that, we also apply the sample weight from the ACS throughout our analysis. Table 1 presents summary statistics.</w:t>
      </w:r>
    </w:p>
    <w:p w14:paraId="07893F61" w14:textId="50D5041E" w:rsidR="002E6946" w:rsidRPr="002936FE" w:rsidRDefault="002E6946" w:rsidP="002E6946">
      <w:pPr>
        <w:widowControl w:val="0"/>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Collective Bargaining Laws.</w:t>
      </w:r>
      <w:r w:rsidRPr="002936FE">
        <w:rPr>
          <w:rFonts w:ascii="Times New Roman" w:eastAsia="CMBX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We obtain information on collective bargaining (CB) statutes from Han (2019). Since federal labor laws exempt public school teachers, state statutes determine public teachers’ CB provisions. And, states have introduced diverse legal systems governing CB rights in their scope and nature. Based on whether states explicitly or implicitly mandate or prohibit CB rights, we classify states into two broader categories: CB-mandated and CB-prohibited. The CB-mandated states include (ii) those that mandate CB and also allow agency fees (a total of 22 states) and (ii) those that mandate CB but ban agency fees (a total of 8 states).</w:t>
      </w:r>
      <w:r w:rsidRPr="002936FE">
        <w:rPr>
          <w:rStyle w:val="FootnoteReference"/>
          <w:rFonts w:ascii="Times New Roman" w:eastAsia="CMR12" w:hAnsi="Times New Roman" w:cs="Times New Roman"/>
          <w:sz w:val="24"/>
          <w:szCs w:val="24"/>
          <w14:ligatures w14:val="standardContextual"/>
        </w:rPr>
        <w:footnoteReference w:id="10"/>
      </w:r>
      <w:r w:rsidRPr="002936FE">
        <w:rPr>
          <w:rFonts w:ascii="Times New Roman" w:eastAsia="CMR8"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In these mandatory states, school districts have an obligation to bargain “in good faith,” when teachers’ unions present demands. Acting in a bad faith would lead to stiff penalties. Likewise, CB-prohibited states include: (</w:t>
      </w:r>
      <w:proofErr w:type="spellStart"/>
      <w:r w:rsidRPr="002936FE">
        <w:rPr>
          <w:rFonts w:ascii="Times New Roman" w:eastAsia="CMR12" w:hAnsi="Times New Roman" w:cs="Times New Roman"/>
          <w:sz w:val="24"/>
          <w:szCs w:val="24"/>
          <w14:ligatures w14:val="standardContextual"/>
        </w:rPr>
        <w:t>i</w:t>
      </w:r>
      <w:proofErr w:type="spellEnd"/>
      <w:r w:rsidRPr="002936FE">
        <w:rPr>
          <w:rFonts w:ascii="Times New Roman" w:eastAsia="CMR12" w:hAnsi="Times New Roman" w:cs="Times New Roman"/>
          <w:sz w:val="24"/>
          <w:szCs w:val="24"/>
          <w14:ligatures w14:val="standardContextual"/>
        </w:rPr>
        <w:t>) states that prohibit CB and (ii) CB “permissible” states (those that do not mandate CB but permit them). Laws in “prohibited” states explicitly ban school districts from collectively bargaining with unions. Although school districts have the freedom to engage in collective bargaining activity via meet-and-confer policies in “permissible” states, an absence of mandatory statutes has led courts to interpret such an absence as an implicit prohibition (Frandsen 2016, Brunner and Ju 2019).</w:t>
      </w:r>
      <w:r w:rsidRPr="002936FE">
        <w:rPr>
          <w:rStyle w:val="FootnoteReference"/>
          <w:rFonts w:ascii="Times New Roman" w:eastAsia="CMR12" w:hAnsi="Times New Roman" w:cs="Times New Roman"/>
          <w:sz w:val="24"/>
          <w:szCs w:val="24"/>
          <w14:ligatures w14:val="standardContextual"/>
        </w:rPr>
        <w:footnoteReference w:id="11"/>
      </w:r>
      <w:r w:rsidRPr="002936FE">
        <w:rPr>
          <w:rFonts w:ascii="Times New Roman" w:eastAsia="CMR8" w:hAnsi="Times New Roman" w:cs="Times New Roman"/>
          <w:sz w:val="16"/>
          <w:szCs w:val="16"/>
          <w14:ligatures w14:val="standardContextual"/>
        </w:rPr>
        <w:t xml:space="preserve"> </w:t>
      </w:r>
      <w:r w:rsidRPr="002936FE">
        <w:rPr>
          <w:rFonts w:ascii="Times New Roman" w:eastAsia="CMR12" w:hAnsi="Times New Roman" w:cs="Times New Roman"/>
          <w:sz w:val="24"/>
          <w:szCs w:val="24"/>
          <w14:ligatures w14:val="standardContextual"/>
        </w:rPr>
        <w:t xml:space="preserve">Therefore, </w:t>
      </w:r>
      <w:r w:rsidRPr="002936FE">
        <w:rPr>
          <w:rFonts w:ascii="Times New Roman" w:eastAsia="CMR12" w:hAnsi="Times New Roman" w:cs="Times New Roman"/>
          <w:sz w:val="24"/>
          <w:szCs w:val="24"/>
          <w14:ligatures w14:val="standardContextual"/>
        </w:rPr>
        <w:lastRenderedPageBreak/>
        <w:t>we place them into the classification of CB-prohibited states. Figure 1 shows a map of states that mandate CB for teachers.</w:t>
      </w:r>
    </w:p>
    <w:p w14:paraId="0E43FB44" w14:textId="44B024F7" w:rsidR="00304E16" w:rsidRPr="002936FE" w:rsidRDefault="00304E16" w:rsidP="00304E16">
      <w:pPr>
        <w:pStyle w:val="ListParagraph"/>
        <w:widowControl w:val="0"/>
        <w:numPr>
          <w:ilvl w:val="0"/>
          <w:numId w:val="1"/>
        </w:numPr>
        <w:autoSpaceDE w:val="0"/>
        <w:autoSpaceDN w:val="0"/>
        <w:adjustRightInd w:val="0"/>
        <w:spacing w:after="0" w:line="480" w:lineRule="auto"/>
        <w:ind w:leftChars="0"/>
        <w:jc w:val="both"/>
        <w:rPr>
          <w:rFonts w:ascii="Times New Roman" w:eastAsia="CMR12" w:hAnsi="Times New Roman" w:cs="Times New Roman"/>
          <w:b/>
          <w:bCs/>
          <w:sz w:val="24"/>
          <w:szCs w:val="24"/>
          <w14:ligatures w14:val="standardContextual"/>
        </w:rPr>
      </w:pPr>
      <w:r w:rsidRPr="002936FE">
        <w:rPr>
          <w:rFonts w:ascii="Times New Roman" w:eastAsia="CMR12" w:hAnsi="Times New Roman" w:cs="Times New Roman"/>
          <w:b/>
          <w:bCs/>
          <w:sz w:val="24"/>
          <w:szCs w:val="24"/>
          <w14:ligatures w14:val="standardContextual"/>
        </w:rPr>
        <w:t>Empirical Strategy and Results</w:t>
      </w:r>
    </w:p>
    <w:p w14:paraId="6C4D614C" w14:textId="366FF2B9" w:rsidR="00304E16" w:rsidRPr="002936FE" w:rsidRDefault="00304E16" w:rsidP="00304E16">
      <w:pPr>
        <w:pStyle w:val="ListParagraph"/>
        <w:widowControl w:val="0"/>
        <w:numPr>
          <w:ilvl w:val="1"/>
          <w:numId w:val="1"/>
        </w:numPr>
        <w:autoSpaceDE w:val="0"/>
        <w:autoSpaceDN w:val="0"/>
        <w:adjustRightInd w:val="0"/>
        <w:spacing w:after="0" w:line="480" w:lineRule="auto"/>
        <w:ind w:leftChars="0"/>
        <w:jc w:val="both"/>
        <w:rPr>
          <w:rFonts w:ascii="Times New Roman" w:eastAsia="CMR12" w:hAnsi="Times New Roman" w:cs="Times New Roman"/>
          <w:b/>
          <w:bCs/>
          <w:sz w:val="24"/>
          <w:szCs w:val="24"/>
          <w14:ligatures w14:val="standardContextual"/>
        </w:rPr>
      </w:pPr>
      <w:r w:rsidRPr="002936FE">
        <w:rPr>
          <w:rFonts w:ascii="Times New Roman" w:eastAsia="CMR12" w:hAnsi="Times New Roman" w:cs="Times New Roman"/>
          <w:b/>
          <w:bCs/>
          <w:sz w:val="24"/>
          <w:szCs w:val="24"/>
          <w14:ligatures w14:val="standardContextual"/>
        </w:rPr>
        <w:t>Empirical Strategy</w:t>
      </w:r>
    </w:p>
    <w:p w14:paraId="75DEDA03" w14:textId="25DA19A9" w:rsidR="002F3C69" w:rsidRPr="002936FE" w:rsidRDefault="00304E16" w:rsidP="002936FE">
      <w:pPr>
        <w:widowControl w:val="0"/>
        <w:autoSpaceDE w:val="0"/>
        <w:autoSpaceDN w:val="0"/>
        <w:adjustRightInd w:val="0"/>
        <w:spacing w:line="480" w:lineRule="auto"/>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The main challenge in identifying the effect of collective bargaining (CB) laws on STEM teachers’ salaries is that observable and unobservable economic factors and institutional arrangements may jointly determine a state’s decision to grant CB rights and STEM teachers’ pay. Note that decisions on granting CB laws solely fall within states’ jurisdiction. As visualized in Figure 1, most states where bargaining is not mandatory are from the South. To overcome this challenge, we compare the difference in the earnings between STEM and non-STEM teachers in states that mandate CB laws to the difference in the earnings between STEM and non-STEM teachers in states that prohibit CB laws. We base the comparison within a single labor market, as defined by a commuting zone (CZ). With CZs comprised of a cluster of counties, within which people can travel to work, they should resemble similar labor market conditions and underlying amenities. We estimate the following equation:</w:t>
      </w:r>
    </w:p>
    <w:p w14:paraId="26DB414A" w14:textId="6FD6D3D9" w:rsidR="002F3C69" w:rsidRPr="002936FE" w:rsidRDefault="00000000" w:rsidP="002936FE">
      <w:pPr>
        <w:widowControl w:val="0"/>
        <w:autoSpaceDE w:val="0"/>
        <w:autoSpaceDN w:val="0"/>
        <w:adjustRightInd w:val="0"/>
        <w:spacing w:line="480" w:lineRule="auto"/>
        <w:ind w:left="360"/>
        <w:jc w:val="both"/>
        <w:rPr>
          <w:rFonts w:ascii="Times New Roman" w:eastAsia="CMR12" w:hAnsi="Times New Roman" w:cs="Times New Roman"/>
          <w:sz w:val="24"/>
          <w:szCs w:val="24"/>
          <w14:ligatures w14:val="standardContextual"/>
        </w:rPr>
      </w:pPr>
      <m:oMath>
        <m:func>
          <m:funcPr>
            <m:ctrlPr>
              <w:rPr>
                <w:rFonts w:ascii="Cambria Math" w:eastAsia="CMR12" w:hAnsi="Cambria Math" w:cs="Times New Roman"/>
                <w:sz w:val="24"/>
                <w:szCs w:val="24"/>
                <w14:ligatures w14:val="standardContextual"/>
              </w:rPr>
            </m:ctrlPr>
          </m:funcPr>
          <m:fName>
            <m:r>
              <w:rPr>
                <w:rFonts w:ascii="Cambria Math" w:eastAsia="CMR12" w:hAnsi="Cambria Math" w:cs="Times New Roman"/>
                <w:sz w:val="24"/>
                <w:szCs w:val="24"/>
                <w14:ligatures w14:val="standardContextual"/>
              </w:rPr>
              <m:t>ln</m:t>
            </m:r>
          </m:fName>
          <m:e>
            <m:d>
              <m:dPr>
                <m:ctrlPr>
                  <w:rPr>
                    <w:rFonts w:ascii="Cambria Math" w:eastAsia="CMR12" w:hAnsi="Cambria Math" w:cs="Times New Roman"/>
                    <w:i/>
                    <w:sz w:val="24"/>
                    <w:szCs w:val="24"/>
                    <w14:ligatures w14:val="standardContextual"/>
                  </w:rPr>
                </m:ctrlPr>
              </m:dPr>
              <m:e>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earnings</m:t>
                    </m:r>
                  </m:e>
                  <m:sub>
                    <m:r>
                      <w:rPr>
                        <w:rFonts w:ascii="Cambria Math" w:eastAsia="CMR12" w:hAnsi="Cambria Math" w:cs="Times New Roman"/>
                        <w:sz w:val="24"/>
                        <w:szCs w:val="24"/>
                        <w14:ligatures w14:val="standardContextual"/>
                      </w:rPr>
                      <m:t>icst</m:t>
                    </m:r>
                  </m:sub>
                </m:sSub>
              </m:e>
            </m:d>
          </m:e>
        </m:func>
        <m:r>
          <w:rPr>
            <w:rFonts w:ascii="Cambria Math" w:eastAsia="CMR12" w:hAnsi="Cambria Math" w:cs="Times New Roman"/>
            <w:sz w:val="24"/>
            <w:szCs w:val="24"/>
            <w14:ligatures w14:val="standardContextual"/>
          </w:rPr>
          <m:t>=α+</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1</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STEM</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2</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STEM</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CB</m:t>
            </m:r>
          </m:e>
          <m:sub>
            <m:r>
              <w:rPr>
                <w:rFonts w:ascii="Cambria Math" w:eastAsia="CMR12" w:hAnsi="Cambria Math" w:cs="Times New Roman"/>
                <w:sz w:val="24"/>
                <w:szCs w:val="24"/>
                <w14:ligatures w14:val="standardContextual"/>
              </w:rPr>
              <m:t>s</m:t>
            </m:r>
          </m:sub>
        </m:sSub>
        <m:r>
          <w:rPr>
            <w:rFonts w:ascii="Cambria Math" w:eastAsia="CMR12" w:hAnsi="Cambria Math" w:cs="Times New Roman"/>
            <w:sz w:val="24"/>
            <w:szCs w:val="24"/>
            <w14:ligatures w14:val="standardContextual"/>
          </w:rPr>
          <m:t>+</m:t>
        </m:r>
        <m:sSubSup>
          <m:sSubSupPr>
            <m:ctrlPr>
              <w:rPr>
                <w:rFonts w:ascii="Cambria Math" w:eastAsia="CMR12" w:hAnsi="Cambria Math" w:cs="Times New Roman"/>
                <w:i/>
                <w:sz w:val="24"/>
                <w:szCs w:val="24"/>
                <w14:ligatures w14:val="standardContextual"/>
              </w:rPr>
            </m:ctrlPr>
          </m:sSubSupPr>
          <m:e>
            <m:r>
              <w:rPr>
                <w:rFonts w:ascii="Cambria Math" w:eastAsia="CMR12" w:hAnsi="Cambria Math" w:cs="Times New Roman"/>
                <w:sz w:val="24"/>
                <w:szCs w:val="24"/>
                <w14:ligatures w14:val="standardContextual"/>
              </w:rPr>
              <m:t>X</m:t>
            </m:r>
          </m:e>
          <m:sub>
            <m:r>
              <w:rPr>
                <w:rFonts w:ascii="Cambria Math" w:eastAsia="CMR12" w:hAnsi="Cambria Math" w:cs="Times New Roman"/>
                <w:sz w:val="24"/>
                <w:szCs w:val="24"/>
                <w14:ligatures w14:val="standardContextual"/>
              </w:rPr>
              <m:t>icst</m:t>
            </m:r>
          </m:sub>
          <m:sup>
            <m:r>
              <w:rPr>
                <w:rFonts w:ascii="Cambria Math" w:eastAsia="CMR12" w:hAnsi="Cambria Math" w:cs="Times New Roman"/>
                <w:sz w:val="24"/>
                <w:szCs w:val="24"/>
                <w14:ligatures w14:val="standardContextual"/>
              </w:rPr>
              <m:t>'</m:t>
            </m:r>
          </m:sup>
        </m:sSubSup>
        <m:r>
          <w:rPr>
            <w:rFonts w:ascii="Cambria Math" w:eastAsia="CMR12" w:hAnsi="Cambria Math" w:cs="Times New Roman"/>
            <w:sz w:val="24"/>
            <w:szCs w:val="24"/>
            <w14:ligatures w14:val="standardContextual"/>
          </w:rPr>
          <m:t>β+</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δ</m:t>
            </m:r>
          </m:e>
          <m:sub>
            <m:r>
              <w:rPr>
                <w:rFonts w:ascii="Cambria Math" w:eastAsia="CMR12" w:hAnsi="Cambria Math" w:cs="Times New Roman"/>
                <w:sz w:val="24"/>
                <w:szCs w:val="24"/>
                <w14:ligatures w14:val="standardContextual"/>
              </w:rPr>
              <m:t>ct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γ</m:t>
            </m:r>
          </m:e>
          <m:sub>
            <m:r>
              <w:rPr>
                <w:rFonts w:ascii="Cambria Math" w:eastAsia="CMR12" w:hAnsi="Cambria Math" w:cs="Times New Roman"/>
                <w:sz w:val="24"/>
                <w:szCs w:val="24"/>
                <w14:ligatures w14:val="standardContextual"/>
              </w:rPr>
              <m:t>s</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ϵ</m:t>
            </m:r>
          </m:e>
          <m:sub>
            <m:r>
              <w:rPr>
                <w:rFonts w:ascii="Cambria Math" w:eastAsia="CMR12" w:hAnsi="Cambria Math" w:cs="Times New Roman"/>
                <w:sz w:val="24"/>
                <w:szCs w:val="24"/>
                <w14:ligatures w14:val="standardContextual"/>
              </w:rPr>
              <m:t>icst</m:t>
            </m:r>
          </m:sub>
        </m:sSub>
      </m:oMath>
      <w:r w:rsidR="00304E16" w:rsidRPr="002936FE">
        <w:rPr>
          <w:rFonts w:ascii="Times New Roman" w:eastAsia="CMR12" w:hAnsi="Times New Roman" w:cs="Times New Roman"/>
          <w:sz w:val="24"/>
          <w:szCs w:val="24"/>
          <w14:ligatures w14:val="standardContextual"/>
        </w:rPr>
        <w:t xml:space="preserve"> (1)</w:t>
      </w:r>
    </w:p>
    <w:p w14:paraId="5B24FC19" w14:textId="015EA48C" w:rsidR="009D2CA2" w:rsidRPr="002936FE" w:rsidRDefault="00304E16" w:rsidP="002F3C69">
      <w:pPr>
        <w:widowControl w:val="0"/>
        <w:autoSpaceDE w:val="0"/>
        <w:autoSpaceDN w:val="0"/>
        <w:adjustRightInd w:val="0"/>
        <w:spacing w:after="0" w:line="480" w:lineRule="auto"/>
        <w:ind w:firstLine="36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In this model, </w:t>
      </w:r>
      <m:oMath>
        <m:func>
          <m:funcPr>
            <m:ctrlPr>
              <w:rPr>
                <w:rFonts w:ascii="Cambria Math" w:eastAsia="CMR12" w:hAnsi="Cambria Math" w:cs="Times New Roman"/>
                <w:sz w:val="24"/>
                <w:szCs w:val="24"/>
                <w14:ligatures w14:val="standardContextual"/>
              </w:rPr>
            </m:ctrlPr>
          </m:funcPr>
          <m:fName>
            <m:r>
              <w:rPr>
                <w:rFonts w:ascii="Cambria Math" w:eastAsia="CMR12" w:hAnsi="Cambria Math" w:cs="Times New Roman"/>
                <w:sz w:val="24"/>
                <w:szCs w:val="24"/>
                <w14:ligatures w14:val="standardContextual"/>
              </w:rPr>
              <m:t>ln</m:t>
            </m:r>
          </m:fName>
          <m:e>
            <m:d>
              <m:dPr>
                <m:ctrlPr>
                  <w:rPr>
                    <w:rFonts w:ascii="Cambria Math" w:eastAsia="CMR12" w:hAnsi="Cambria Math" w:cs="Times New Roman"/>
                    <w:i/>
                    <w:sz w:val="24"/>
                    <w:szCs w:val="24"/>
                    <w14:ligatures w14:val="standardContextual"/>
                  </w:rPr>
                </m:ctrlPr>
              </m:dPr>
              <m:e>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earnings</m:t>
                    </m:r>
                  </m:e>
                  <m:sub>
                    <m:r>
                      <w:rPr>
                        <w:rFonts w:ascii="Cambria Math" w:eastAsia="CMR12" w:hAnsi="Cambria Math" w:cs="Times New Roman"/>
                        <w:sz w:val="24"/>
                        <w:szCs w:val="24"/>
                        <w14:ligatures w14:val="standardContextual"/>
                      </w:rPr>
                      <m:t>icst</m:t>
                    </m:r>
                  </m:sub>
                </m:sSub>
              </m:e>
            </m:d>
          </m:e>
        </m:func>
      </m:oMath>
      <w:r w:rsidRPr="002936FE">
        <w:rPr>
          <w:rFonts w:ascii="Times New Roman" w:eastAsia="CMR12" w:hAnsi="Times New Roman" w:cs="Times New Roman"/>
          <w:sz w:val="24"/>
          <w:szCs w:val="24"/>
          <w14:ligatures w14:val="standardContextual"/>
        </w:rPr>
        <w:t xml:space="preserve"> represents the annual earnings of public-school teacher </w:t>
      </w:r>
      <m:oMath>
        <m:r>
          <w:rPr>
            <w:rFonts w:ascii="Cambria Math" w:eastAsia="CMR12" w:hAnsi="Cambria Math" w:cs="Times New Roman"/>
            <w:sz w:val="24"/>
            <w:szCs w:val="24"/>
            <w14:ligatures w14:val="standardContextual"/>
          </w:rPr>
          <m:t>i</m:t>
        </m:r>
      </m:oMath>
      <w:r w:rsidRPr="002936FE">
        <w:rPr>
          <w:rFonts w:ascii="Times New Roman" w:eastAsia="CMR12" w:hAnsi="Times New Roman" w:cs="Times New Roman"/>
          <w:sz w:val="24"/>
          <w:szCs w:val="24"/>
          <w14:ligatures w14:val="standardContextual"/>
        </w:rPr>
        <w:t xml:space="preserve"> in commuting zone </w:t>
      </w:r>
      <m:oMath>
        <m:r>
          <w:rPr>
            <w:rFonts w:ascii="Cambria Math" w:eastAsia="CMR12" w:hAnsi="Cambria Math" w:cs="Times New Roman"/>
            <w:sz w:val="24"/>
            <w:szCs w:val="24"/>
            <w14:ligatures w14:val="standardContextual"/>
          </w:rPr>
          <m:t>c</m:t>
        </m:r>
      </m:oMath>
      <w:r w:rsidRPr="002936FE">
        <w:rPr>
          <w:rFonts w:ascii="Times New Roman" w:eastAsia="CMR12" w:hAnsi="Times New Roman" w:cs="Times New Roman"/>
          <w:sz w:val="24"/>
          <w:szCs w:val="24"/>
          <w14:ligatures w14:val="standardContextual"/>
        </w:rPr>
        <w:t xml:space="preserve">, state </w:t>
      </w:r>
      <m:oMath>
        <m:r>
          <w:rPr>
            <w:rFonts w:ascii="Cambria Math" w:eastAsia="CMR12" w:hAnsi="Cambria Math" w:cs="Times New Roman"/>
            <w:sz w:val="24"/>
            <w:szCs w:val="24"/>
            <w14:ligatures w14:val="standardContextual"/>
          </w:rPr>
          <m:t>s</m:t>
        </m:r>
      </m:oMath>
      <w:r w:rsidRPr="002936FE">
        <w:rPr>
          <w:rFonts w:ascii="Times New Roman" w:eastAsia="CMR12" w:hAnsi="Times New Roman" w:cs="Times New Roman"/>
          <w:sz w:val="24"/>
          <w:szCs w:val="24"/>
          <w14:ligatures w14:val="standardContextual"/>
        </w:rPr>
        <w:t xml:space="preserve">, and year </w:t>
      </w:r>
      <m:oMath>
        <m:r>
          <w:rPr>
            <w:rFonts w:ascii="Cambria Math" w:eastAsia="CMR12" w:hAnsi="Cambria Math" w:cs="Times New Roman"/>
            <w:sz w:val="24"/>
            <w:szCs w:val="24"/>
            <w14:ligatures w14:val="standardContextual"/>
          </w:rPr>
          <m:t>t</m:t>
        </m:r>
      </m:oMath>
      <w:r w:rsidRPr="002936FE">
        <w:rPr>
          <w:rFonts w:ascii="Times New Roman" w:eastAsia="CMR12" w:hAnsi="Times New Roman" w:cs="Times New Roman"/>
          <w:sz w:val="24"/>
          <w:szCs w:val="24"/>
          <w14:ligatures w14:val="standardContextual"/>
        </w:rPr>
        <w:t>.</w:t>
      </w:r>
      <w:r w:rsidR="009D2CA2" w:rsidRPr="002936FE">
        <w:rPr>
          <w:rFonts w:ascii="Times New Roman" w:eastAsia="CMR12" w:hAnsi="Times New Roman" w:cs="Times New Roman"/>
          <w:sz w:val="24"/>
          <w:szCs w:val="24"/>
          <w14:ligatures w14:val="standardContextual"/>
        </w:rPr>
        <w:t xml:space="preserve"> STEM is a dummy variable for potential STEM teachers. We define potential STEM teachers as those individuals who indicated they had their undergraduate degree in STEM fields. Our approach, in spirit, is similar to Ingersoll and </w:t>
      </w:r>
      <w:proofErr w:type="spellStart"/>
      <w:r w:rsidR="009D2CA2" w:rsidRPr="002936FE">
        <w:rPr>
          <w:rFonts w:ascii="Times New Roman" w:eastAsia="CMR12" w:hAnsi="Times New Roman" w:cs="Times New Roman"/>
          <w:sz w:val="24"/>
          <w:szCs w:val="24"/>
          <w14:ligatures w14:val="standardContextual"/>
        </w:rPr>
        <w:t>Perda</w:t>
      </w:r>
      <w:proofErr w:type="spellEnd"/>
      <w:r w:rsidR="009D2CA2" w:rsidRPr="002936FE">
        <w:rPr>
          <w:rFonts w:ascii="Times New Roman" w:eastAsia="CMR12" w:hAnsi="Times New Roman" w:cs="Times New Roman"/>
          <w:sz w:val="24"/>
          <w:szCs w:val="24"/>
          <w14:ligatures w14:val="standardContextual"/>
        </w:rPr>
        <w:t xml:space="preserve"> (2010). We want to note a drawback that presumably all STEM teachers may not have completed their undergraduate degree in STEM fields. Analogously, all teachers who completed their undergraduate degrees in STEM fields may not be teaching in STEM fields. </w:t>
      </w:r>
      <w:r w:rsidR="009D2CA2" w:rsidRPr="002936FE">
        <w:rPr>
          <w:rFonts w:ascii="Times New Roman" w:eastAsia="CMR12" w:hAnsi="Times New Roman" w:cs="Times New Roman"/>
          <w:sz w:val="24"/>
          <w:szCs w:val="24"/>
          <w14:ligatures w14:val="standardContextual"/>
        </w:rPr>
        <w:lastRenderedPageBreak/>
        <w:t xml:space="preserve">Likewise, </w:t>
      </w:r>
      <m:oMath>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CB</m:t>
            </m:r>
          </m:e>
          <m:sub>
            <m:r>
              <w:rPr>
                <w:rFonts w:ascii="Cambria Math" w:eastAsia="CMR12" w:hAnsi="Cambria Math" w:cs="Times New Roman"/>
                <w:sz w:val="24"/>
                <w:szCs w:val="24"/>
                <w14:ligatures w14:val="standardContextual"/>
              </w:rPr>
              <m:t>s</m:t>
            </m:r>
          </m:sub>
        </m:sSub>
      </m:oMath>
      <w:r w:rsidR="009D2CA2" w:rsidRPr="002936FE">
        <w:rPr>
          <w:rFonts w:ascii="Times New Roman" w:eastAsia="CMR12" w:hAnsi="Times New Roman" w:cs="Times New Roman"/>
          <w:sz w:val="24"/>
          <w:szCs w:val="24"/>
          <w14:ligatures w14:val="standardContextual"/>
        </w:rPr>
        <w:t xml:space="preserve"> is constructed as an indicator variable for state where </w:t>
      </w:r>
      <w:r w:rsidR="009D2CA2" w:rsidRPr="002936FE">
        <w:rPr>
          <w:rFonts w:ascii="Times New Roman" w:eastAsia="CMR12" w:hAnsi="Times New Roman" w:cs="Times New Roman"/>
          <w:i/>
          <w:iCs/>
          <w:sz w:val="24"/>
          <w:szCs w:val="24"/>
          <w14:ligatures w14:val="standardContextual"/>
        </w:rPr>
        <w:t>CB</w:t>
      </w:r>
      <w:r w:rsidR="009D2CA2" w:rsidRPr="002936FE">
        <w:rPr>
          <w:rFonts w:ascii="Times New Roman" w:eastAsia="CMR12" w:hAnsi="Times New Roman" w:cs="Times New Roman"/>
          <w:sz w:val="24"/>
          <w:szCs w:val="24"/>
          <w14:ligatures w14:val="standardContextual"/>
        </w:rPr>
        <w:t xml:space="preserve"> is mandatory. Note that in this model, we do not need to include a separate indicator variable for </w:t>
      </w:r>
      <m:oMath>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CB</m:t>
            </m:r>
          </m:e>
          <m:sub>
            <m:r>
              <w:rPr>
                <w:rFonts w:ascii="Cambria Math" w:eastAsia="CMR12" w:hAnsi="Cambria Math" w:cs="Times New Roman"/>
                <w:sz w:val="24"/>
                <w:szCs w:val="24"/>
                <w14:ligatures w14:val="standardContextual"/>
              </w:rPr>
              <m:t>s</m:t>
            </m:r>
          </m:sub>
        </m:sSub>
      </m:oMath>
      <w:r w:rsidR="009D2CA2" w:rsidRPr="002936FE">
        <w:rPr>
          <w:rFonts w:ascii="Times New Roman" w:eastAsia="CMR12" w:hAnsi="Times New Roman" w:cs="Times New Roman"/>
          <w:sz w:val="24"/>
          <w:szCs w:val="24"/>
          <w14:ligatures w14:val="standardContextual"/>
        </w:rPr>
        <w:t xml:space="preserve"> as it is subsumed by the state fixed effects, </w:t>
      </w:r>
      <m:oMath>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γ</m:t>
            </m:r>
          </m:e>
          <m:sub>
            <m:r>
              <w:rPr>
                <w:rFonts w:ascii="Cambria Math" w:eastAsia="CMR12" w:hAnsi="Cambria Math" w:cs="Times New Roman"/>
                <w:sz w:val="24"/>
                <w:szCs w:val="24"/>
                <w14:ligatures w14:val="standardContextual"/>
              </w:rPr>
              <m:t>s</m:t>
            </m:r>
          </m:sub>
        </m:sSub>
      </m:oMath>
      <w:r w:rsidR="009D2CA2" w:rsidRPr="002936FE">
        <w:rPr>
          <w:rFonts w:ascii="Times New Roman" w:eastAsia="CMR12" w:hAnsi="Times New Roman" w:cs="Times New Roman"/>
          <w:sz w:val="24"/>
          <w:szCs w:val="24"/>
          <w14:ligatures w14:val="standardContextual"/>
        </w:rPr>
        <w:t xml:space="preserve">. </w:t>
      </w:r>
      <m:oMath>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δ</m:t>
            </m:r>
          </m:e>
          <m:sub>
            <m:r>
              <w:rPr>
                <w:rFonts w:ascii="Cambria Math" w:eastAsia="CMR12" w:hAnsi="Cambria Math" w:cs="Times New Roman"/>
                <w:sz w:val="24"/>
                <w:szCs w:val="24"/>
                <w14:ligatures w14:val="standardContextual"/>
              </w:rPr>
              <m:t>ct</m:t>
            </m:r>
          </m:sub>
        </m:sSub>
      </m:oMath>
      <w:r w:rsidR="009D2CA2" w:rsidRPr="002936FE">
        <w:rPr>
          <w:rFonts w:ascii="Times New Roman" w:eastAsia="CMR12" w:hAnsi="Times New Roman" w:cs="Times New Roman"/>
          <w:sz w:val="24"/>
          <w:szCs w:val="24"/>
          <w14:ligatures w14:val="standardContextual"/>
        </w:rPr>
        <w:t xml:space="preserve"> is a vector of CZ-by-year fixed effects, which eliminates confounding factors that vary over time within CZs. With the possibility of a CZ being extended across state borders, teachers within a CZ can be subject to different CB rights. Inclusion of CZ fixed effects allows us to control for any CZ-level </w:t>
      </w:r>
      <w:proofErr w:type="spellStart"/>
      <w:r w:rsidR="009D2CA2" w:rsidRPr="002936FE">
        <w:rPr>
          <w:rFonts w:ascii="Times New Roman" w:eastAsia="CMR12" w:hAnsi="Times New Roman" w:cs="Times New Roman"/>
          <w:sz w:val="24"/>
          <w:szCs w:val="24"/>
          <w14:ligatures w14:val="standardContextual"/>
        </w:rPr>
        <w:t>unobservables</w:t>
      </w:r>
      <w:proofErr w:type="spellEnd"/>
      <w:r w:rsidR="009D2CA2" w:rsidRPr="002936FE">
        <w:rPr>
          <w:rFonts w:ascii="Times New Roman" w:eastAsia="CMR12" w:hAnsi="Times New Roman" w:cs="Times New Roman"/>
          <w:sz w:val="24"/>
          <w:szCs w:val="24"/>
          <w14:ligatures w14:val="standardContextual"/>
        </w:rPr>
        <w:t xml:space="preserve"> that are potentially correlated with our key variable of interest. Likewise, we use individual controls, represented by </w:t>
      </w:r>
      <w:r w:rsidR="009D2CA2" w:rsidRPr="002936FE">
        <w:rPr>
          <w:rFonts w:ascii="Times New Roman" w:eastAsia="CMMI12" w:hAnsi="Times New Roman" w:cs="Times New Roman"/>
          <w:i/>
          <w:iCs/>
          <w:sz w:val="24"/>
          <w:szCs w:val="24"/>
          <w14:ligatures w14:val="standardContextual"/>
        </w:rPr>
        <w:t>X</w:t>
      </w:r>
      <w:r w:rsidR="009D2CA2" w:rsidRPr="002936FE">
        <w:rPr>
          <w:rFonts w:ascii="Times New Roman" w:eastAsia="CMR12" w:hAnsi="Times New Roman" w:cs="Times New Roman"/>
          <w:sz w:val="24"/>
          <w:szCs w:val="24"/>
          <w14:ligatures w14:val="standardContextual"/>
        </w:rPr>
        <w:t>, to improve the precision of our parameter of interest. They include marital status, race, gender, age, education, and the number of children.</w:t>
      </w:r>
      <w:r w:rsidR="009D2CA2" w:rsidRPr="002936FE">
        <w:rPr>
          <w:rStyle w:val="FootnoteReference"/>
          <w:rFonts w:ascii="Times New Roman" w:eastAsia="CMR12" w:hAnsi="Times New Roman" w:cs="Times New Roman"/>
          <w:sz w:val="24"/>
          <w:szCs w:val="24"/>
          <w14:ligatures w14:val="standardContextual"/>
        </w:rPr>
        <w:footnoteReference w:id="12"/>
      </w:r>
      <w:r w:rsidR="009D2CA2" w:rsidRPr="002936FE">
        <w:rPr>
          <w:rFonts w:ascii="Times New Roman" w:eastAsia="CMR12" w:hAnsi="Times New Roman" w:cs="Times New Roman"/>
          <w:sz w:val="24"/>
          <w:szCs w:val="24"/>
          <w14:ligatures w14:val="standardContextual"/>
        </w:rPr>
        <w:t xml:space="preserve"> We cluster standard errors at the state level to allow for within-state auto-correlation of the disturbance term. Our estimates are identified from CZs that straddle state boundaries where one side of the CZ has a mandatory CB law whereas the other side in the same CZ does not. A total of 33 CZs in our analytical sample fall into this category, accounting for nearly 10 percent of the total observations. We still include CZs that do not have any within-variation in CB rights in order to increase statistical power. The identifying assumption of our model is that </w:t>
      </w:r>
      <w:proofErr w:type="spellStart"/>
      <w:r w:rsidR="009D2CA2" w:rsidRPr="002936FE">
        <w:rPr>
          <w:rFonts w:ascii="Times New Roman" w:eastAsia="CMR12" w:hAnsi="Times New Roman" w:cs="Times New Roman"/>
          <w:sz w:val="24"/>
          <w:szCs w:val="24"/>
          <w14:ligatures w14:val="standardContextual"/>
        </w:rPr>
        <w:t>unobservables</w:t>
      </w:r>
      <w:proofErr w:type="spellEnd"/>
      <w:r w:rsidR="009D2CA2" w:rsidRPr="002936FE">
        <w:rPr>
          <w:rFonts w:ascii="Times New Roman" w:eastAsia="CMR12" w:hAnsi="Times New Roman" w:cs="Times New Roman"/>
          <w:sz w:val="24"/>
          <w:szCs w:val="24"/>
          <w14:ligatures w14:val="standardContextual"/>
        </w:rPr>
        <w:t xml:space="preserve"> within a CZ that are correlated with both earnings and mandatory CB laws affect both STEM and non-STEM teachers in a similar way. Our model is essentially a difference-in-differences (</w:t>
      </w:r>
      <w:proofErr w:type="spellStart"/>
      <w:r w:rsidR="009D2CA2" w:rsidRPr="002936FE">
        <w:rPr>
          <w:rFonts w:ascii="Times New Roman" w:eastAsia="CMR12" w:hAnsi="Times New Roman" w:cs="Times New Roman"/>
          <w:sz w:val="24"/>
          <w:szCs w:val="24"/>
          <w14:ligatures w14:val="standardContextual"/>
        </w:rPr>
        <w:t>DiD</w:t>
      </w:r>
      <w:proofErr w:type="spellEnd"/>
      <w:r w:rsidR="009D2CA2" w:rsidRPr="002936FE">
        <w:rPr>
          <w:rFonts w:ascii="Times New Roman" w:eastAsia="CMR12" w:hAnsi="Times New Roman" w:cs="Times New Roman"/>
          <w:sz w:val="24"/>
          <w:szCs w:val="24"/>
          <w14:ligatures w14:val="standardContextual"/>
        </w:rPr>
        <w:t>) model. The first difference represents the average difference in the salary between STEM and non-STEM teachers, while the second difference measures how this gap changes when a teacher is located in a mandatory CB state.</w:t>
      </w:r>
    </w:p>
    <w:p w14:paraId="153398C3" w14:textId="6F2380AB" w:rsidR="009D2CA2" w:rsidRPr="002936FE" w:rsidRDefault="009D2CA2" w:rsidP="009D2CA2">
      <w:pPr>
        <w:pStyle w:val="ListParagraph"/>
        <w:widowControl w:val="0"/>
        <w:numPr>
          <w:ilvl w:val="1"/>
          <w:numId w:val="1"/>
        </w:numPr>
        <w:autoSpaceDE w:val="0"/>
        <w:autoSpaceDN w:val="0"/>
        <w:adjustRightInd w:val="0"/>
        <w:spacing w:after="0" w:line="480" w:lineRule="auto"/>
        <w:ind w:leftChars="0"/>
        <w:jc w:val="both"/>
        <w:rPr>
          <w:rFonts w:ascii="Times New Roman" w:eastAsia="CMR12" w:hAnsi="Times New Roman" w:cs="Times New Roman"/>
          <w:b/>
          <w:bCs/>
          <w:sz w:val="24"/>
          <w:szCs w:val="24"/>
          <w14:ligatures w14:val="standardContextual"/>
        </w:rPr>
      </w:pPr>
      <w:r w:rsidRPr="002936FE">
        <w:rPr>
          <w:rFonts w:ascii="Times New Roman" w:eastAsia="CMR12" w:hAnsi="Times New Roman" w:cs="Times New Roman"/>
          <w:b/>
          <w:bCs/>
          <w:sz w:val="24"/>
          <w:szCs w:val="24"/>
          <w14:ligatures w14:val="standardContextual"/>
        </w:rPr>
        <w:t>Balancing Tests</w:t>
      </w:r>
    </w:p>
    <w:p w14:paraId="26E2793E" w14:textId="1285738C" w:rsidR="009D2CA2" w:rsidRPr="002936FE" w:rsidRDefault="009D2CA2" w:rsidP="002936FE">
      <w:pPr>
        <w:widowControl w:val="0"/>
        <w:autoSpaceDE w:val="0"/>
        <w:autoSpaceDN w:val="0"/>
        <w:adjustRightInd w:val="0"/>
        <w:spacing w:line="480" w:lineRule="auto"/>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To provide initial evidence that the estimates from Equation (1) have a causal interpretation,</w:t>
      </w:r>
      <w:r w:rsidRPr="002936FE">
        <w:rPr>
          <w:rFonts w:ascii="Times New Roman" w:eastAsia="CMR12" w:hAnsi="Times New Roman" w:cs="Times New Roman"/>
          <w:b/>
          <w:bCs/>
          <w:sz w:val="24"/>
          <w:szCs w:val="24"/>
          <w14:ligatures w14:val="standardContextual"/>
        </w:rPr>
        <w:t xml:space="preserve"> </w:t>
      </w:r>
      <w:r w:rsidRPr="002936FE">
        <w:rPr>
          <w:rFonts w:ascii="Times New Roman" w:eastAsia="CMR12" w:hAnsi="Times New Roman" w:cs="Times New Roman"/>
          <w:sz w:val="24"/>
          <w:szCs w:val="24"/>
          <w14:ligatures w14:val="standardContextual"/>
        </w:rPr>
        <w:lastRenderedPageBreak/>
        <w:t>we start by performing a series of balancing tests. Specifically, we estimate the models of the</w:t>
      </w:r>
      <w:r w:rsidRPr="002936FE">
        <w:rPr>
          <w:rFonts w:ascii="Times New Roman" w:eastAsia="CMR12" w:hAnsi="Times New Roman" w:cs="Times New Roman"/>
          <w:b/>
          <w:bCs/>
          <w:sz w:val="24"/>
          <w:szCs w:val="24"/>
          <w14:ligatures w14:val="standardContextual"/>
        </w:rPr>
        <w:t xml:space="preserve"> </w:t>
      </w:r>
      <w:r w:rsidRPr="002936FE">
        <w:rPr>
          <w:rFonts w:ascii="Times New Roman" w:eastAsia="CMR12" w:hAnsi="Times New Roman" w:cs="Times New Roman"/>
          <w:sz w:val="24"/>
          <w:szCs w:val="24"/>
          <w14:ligatures w14:val="standardContextual"/>
        </w:rPr>
        <w:t>following form:</w:t>
      </w:r>
    </w:p>
    <w:p w14:paraId="24AE848C" w14:textId="5E9527B2" w:rsidR="00042979" w:rsidRPr="002936FE" w:rsidRDefault="00000000" w:rsidP="002936FE">
      <w:pPr>
        <w:widowControl w:val="0"/>
        <w:autoSpaceDE w:val="0"/>
        <w:autoSpaceDN w:val="0"/>
        <w:adjustRightInd w:val="0"/>
        <w:spacing w:line="480" w:lineRule="auto"/>
        <w:ind w:left="360"/>
        <w:jc w:val="right"/>
        <w:rPr>
          <w:rFonts w:ascii="Times New Roman" w:eastAsia="CMR12" w:hAnsi="Times New Roman" w:cs="Times New Roman"/>
          <w:sz w:val="24"/>
          <w:szCs w:val="24"/>
          <w14:ligatures w14:val="standardContextual"/>
        </w:rPr>
      </w:pPr>
      <m:oMath>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C</m:t>
            </m:r>
          </m:e>
          <m:sub>
            <m:r>
              <w:rPr>
                <w:rFonts w:ascii="Cambria Math" w:eastAsia="CMR12" w:hAnsi="Cambria Math" w:cs="Times New Roman"/>
                <w:sz w:val="24"/>
                <w:szCs w:val="24"/>
                <w14:ligatures w14:val="standardContextual"/>
              </w:rPr>
              <m:t>cst</m:t>
            </m:r>
          </m:sub>
        </m:sSub>
        <m:r>
          <w:rPr>
            <w:rFonts w:ascii="Cambria Math" w:eastAsia="CMR12" w:hAnsi="Cambria Math" w:cs="Times New Roman"/>
            <w:sz w:val="24"/>
            <w:szCs w:val="24"/>
            <w14:ligatures w14:val="standardContextual"/>
          </w:rPr>
          <m:t>=α+</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1</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CB</m:t>
            </m:r>
          </m:e>
          <m:sub>
            <m:r>
              <w:rPr>
                <w:rFonts w:ascii="Cambria Math" w:eastAsia="CMR12" w:hAnsi="Cambria Math" w:cs="Times New Roman"/>
                <w:sz w:val="24"/>
                <w:szCs w:val="24"/>
                <w14:ligatures w14:val="standardContextual"/>
              </w:rPr>
              <m:t>s</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δ</m:t>
            </m:r>
          </m:e>
          <m:sub>
            <m:r>
              <w:rPr>
                <w:rFonts w:ascii="Cambria Math" w:eastAsia="CMR12" w:hAnsi="Cambria Math" w:cs="Times New Roman"/>
                <w:sz w:val="24"/>
                <w:szCs w:val="24"/>
                <w14:ligatures w14:val="standardContextual"/>
              </w:rPr>
              <m:t>ct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ϵ</m:t>
            </m:r>
          </m:e>
          <m:sub>
            <m:r>
              <w:rPr>
                <w:rFonts w:ascii="Cambria Math" w:eastAsia="CMR12" w:hAnsi="Cambria Math" w:cs="Times New Roman"/>
                <w:sz w:val="24"/>
                <w:szCs w:val="24"/>
                <w14:ligatures w14:val="standardContextual"/>
              </w:rPr>
              <m:t>cst</m:t>
            </m:r>
          </m:sub>
        </m:sSub>
      </m:oMath>
      <w:r w:rsidR="002F3C69" w:rsidRPr="002936FE">
        <w:rPr>
          <w:rFonts w:ascii="Times New Roman" w:eastAsia="CMR12" w:hAnsi="Times New Roman" w:cs="Times New Roman"/>
          <w:sz w:val="24"/>
          <w:szCs w:val="24"/>
          <w14:ligatures w14:val="standardContextual"/>
        </w:rPr>
        <w:t xml:space="preserve">                     (2)</w:t>
      </w:r>
    </w:p>
    <w:p w14:paraId="07F63280" w14:textId="77777777" w:rsidR="006A139A" w:rsidRPr="002936FE" w:rsidRDefault="001870D0" w:rsidP="002F3C69">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where </w:t>
      </w:r>
      <m:oMath>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C</m:t>
            </m:r>
          </m:e>
          <m:sub>
            <m:r>
              <w:rPr>
                <w:rFonts w:ascii="Cambria Math" w:eastAsia="CMR12" w:hAnsi="Cambria Math" w:cs="Times New Roman"/>
                <w:sz w:val="24"/>
                <w:szCs w:val="24"/>
                <w14:ligatures w14:val="standardContextual"/>
              </w:rPr>
              <m:t>cst</m:t>
            </m:r>
          </m:sub>
        </m:sSub>
      </m:oMath>
      <w:r w:rsidRPr="002936FE">
        <w:rPr>
          <w:rFonts w:ascii="Times New Roman" w:eastAsia="CMMI8"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denotes demographic characteristics of commuting zone </w:t>
      </w:r>
      <m:oMath>
        <m:r>
          <w:rPr>
            <w:rFonts w:ascii="Cambria Math" w:eastAsia="CMR12" w:hAnsi="Cambria Math" w:cs="Times New Roman"/>
            <w:sz w:val="24"/>
            <w:szCs w:val="24"/>
            <w14:ligatures w14:val="standardContextual"/>
          </w:rPr>
          <m:t>c</m:t>
        </m:r>
      </m:oMath>
      <w:r w:rsidRPr="002936FE">
        <w:rPr>
          <w:rFonts w:ascii="Times New Roman" w:eastAsia="CMMI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in state </w:t>
      </w:r>
      <m:oMath>
        <m:r>
          <w:rPr>
            <w:rFonts w:ascii="Cambria Math" w:eastAsia="CMR12" w:hAnsi="Cambria Math" w:cs="Times New Roman"/>
            <w:sz w:val="24"/>
            <w:szCs w:val="24"/>
            <w14:ligatures w14:val="standardContextual"/>
          </w:rPr>
          <m:t>s</m:t>
        </m:r>
      </m:oMath>
      <w:r w:rsidRPr="002936FE">
        <w:rPr>
          <w:rFonts w:ascii="Times New Roman" w:eastAsia="CMMI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and year </w:t>
      </w:r>
      <m:oMath>
        <m:r>
          <w:rPr>
            <w:rFonts w:ascii="Cambria Math" w:eastAsia="CMR12" w:hAnsi="Cambria Math" w:cs="Times New Roman"/>
            <w:sz w:val="24"/>
            <w:szCs w:val="24"/>
            <w14:ligatures w14:val="standardContextual"/>
          </w:rPr>
          <m:t>t</m:t>
        </m:r>
      </m:oMath>
      <w:r w:rsidRPr="002936FE">
        <w:rPr>
          <w:rFonts w:ascii="Times New Roman" w:eastAsia="CMR12" w:hAnsi="Times New Roman" w:cs="Times New Roman"/>
          <w:sz w:val="24"/>
          <w:szCs w:val="24"/>
          <w14:ligatures w14:val="standardContextual"/>
        </w:rPr>
        <w:t>, which include the vote share of the Democratic Party in a presidential election, population density, the median household income, the unemployment rate, the labor force participation rate, and the employment-population ratio.</w:t>
      </w:r>
      <w:r w:rsidRPr="002936FE">
        <w:rPr>
          <w:rStyle w:val="FootnoteReference"/>
          <w:rFonts w:ascii="Times New Roman" w:eastAsia="CMR12" w:hAnsi="Times New Roman" w:cs="Times New Roman"/>
          <w:sz w:val="24"/>
          <w:szCs w:val="24"/>
          <w14:ligatures w14:val="standardContextual"/>
        </w:rPr>
        <w:footnoteReference w:id="13"/>
      </w:r>
      <w:r w:rsidRPr="002936FE">
        <w:rPr>
          <w:rFonts w:ascii="Times New Roman" w:eastAsia="CMR8"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We also execute similar estimations for individual characteristics constructed from the 2009-2018 ACS. The characteristics include age, female, education (an undergraduate degree or an advanced degree), married, race (white, black, Hispanic, and other race), and the number of children. The coefficient of primary interest </w:t>
      </w:r>
      <m:oMath>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1</m:t>
            </m:r>
          </m:sub>
        </m:sSub>
      </m:oMath>
      <w:r w:rsidRPr="002936FE">
        <w:rPr>
          <w:rFonts w:ascii="Times New Roman" w:eastAsia="CMR8"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represents an average difference in characteristics between areas with and without mandatory CB laws within a commuting zone. Having a statistically insignificant estimate of </w:t>
      </w:r>
      <m:oMath>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1</m:t>
            </m:r>
          </m:sub>
        </m:sSub>
      </m:oMath>
      <w:r w:rsidRPr="002936FE">
        <w:rPr>
          <w:rFonts w:ascii="Times New Roman" w:eastAsia="CMR8"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can be interpreted as CB regime being uncorrelated with a within-commuting-zone characteristic.</w:t>
      </w:r>
    </w:p>
    <w:p w14:paraId="4BE515F4" w14:textId="6526DA89" w:rsidR="006A139A" w:rsidRPr="002936FE" w:rsidRDefault="006A139A" w:rsidP="002F3C69">
      <w:pPr>
        <w:autoSpaceDE w:val="0"/>
        <w:autoSpaceDN w:val="0"/>
        <w:adjustRightInd w:val="0"/>
        <w:spacing w:after="0" w:line="480" w:lineRule="auto"/>
        <w:ind w:firstLine="36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Panel A of Table 2 presents the balancing test results for state-specific CZ characteristics, while Panel B reports balancing test results for observable individual characteristics from the ACS. Note that the estimates reported in Column 1 are derived without controlling for the local labor market. The results suggest that there exist significant differences in the characteristics of CZs located in CB-mandatory and non-mandatory states. For example, CZs located in CB-mandatory states have a significantly higher median household income, a higher labor force participation rate, and contain types of voters who are more likely to support the Democratic </w:t>
      </w:r>
      <w:r w:rsidRPr="002936FE">
        <w:rPr>
          <w:rFonts w:ascii="Times New Roman" w:eastAsia="CMR12" w:hAnsi="Times New Roman" w:cs="Times New Roman"/>
          <w:sz w:val="24"/>
          <w:szCs w:val="24"/>
          <w14:ligatures w14:val="standardContextual"/>
        </w:rPr>
        <w:lastRenderedPageBreak/>
        <w:t>presidential candidate. This finding is not surprising given the self-selection of states into mandating bargaining laws as shown in Figure 1. Column 2 of Table 2 presents the results based on the comparison of the characteristics between CB-mandated and CB-prohibited areas within CZs. Out of 16 variables within a CZ comparison, coefficients on 13 of them are statistically insignificant. Only three variables (age, white, and the number of children) remain statistically significant. Overall, the balancing test results reassure that CZ characteristics are generally balanced across mandatory and non-mandatory areas, giving credibility to our research design.</w:t>
      </w:r>
    </w:p>
    <w:p w14:paraId="73403676" w14:textId="01764AC0" w:rsidR="006A139A" w:rsidRPr="002936FE" w:rsidRDefault="006A139A" w:rsidP="006A139A">
      <w:pPr>
        <w:pStyle w:val="ListParagraph"/>
        <w:widowControl w:val="0"/>
        <w:numPr>
          <w:ilvl w:val="1"/>
          <w:numId w:val="1"/>
        </w:numPr>
        <w:autoSpaceDE w:val="0"/>
        <w:autoSpaceDN w:val="0"/>
        <w:adjustRightInd w:val="0"/>
        <w:spacing w:after="0" w:line="480" w:lineRule="auto"/>
        <w:ind w:leftChars="0"/>
        <w:jc w:val="both"/>
        <w:rPr>
          <w:rFonts w:ascii="Times New Roman" w:eastAsia="CMR12" w:hAnsi="Times New Roman" w:cs="Times New Roman"/>
          <w:b/>
          <w:bCs/>
          <w:sz w:val="24"/>
          <w:szCs w:val="24"/>
          <w14:ligatures w14:val="standardContextual"/>
        </w:rPr>
      </w:pPr>
      <w:r w:rsidRPr="002936FE">
        <w:rPr>
          <w:rFonts w:ascii="Times New Roman" w:eastAsia="CMR12" w:hAnsi="Times New Roman" w:cs="Times New Roman"/>
          <w:b/>
          <w:bCs/>
          <w:sz w:val="24"/>
          <w:szCs w:val="24"/>
          <w14:ligatures w14:val="standardContextual"/>
        </w:rPr>
        <w:t>Main Results</w:t>
      </w:r>
    </w:p>
    <w:p w14:paraId="528F10CC" w14:textId="77777777" w:rsidR="002F3C69" w:rsidRPr="002936FE" w:rsidRDefault="006A139A" w:rsidP="00F74885">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In this section, we present the results of regressions, based on Equation (1), estimating the</w:t>
      </w:r>
      <w:r w:rsidR="002F3C69" w:rsidRPr="002936FE">
        <w:rPr>
          <w:rFonts w:ascii="Times New Roman" w:eastAsia="CMR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impact of CB laws on the teachers’ earnings. All models are weighted using the person weight provided by the ACS and the probability of an individual belonging to a particular CZ as defined above. Furthermore, all the specifications reported in Table 3 and subsequent tables include a full set of individual characteristics, the state fixed effects, and the commuting zone-by-year fixed effects.</w:t>
      </w:r>
    </w:p>
    <w:p w14:paraId="6B224408" w14:textId="2BCF80DB" w:rsidR="002F3C69" w:rsidRPr="002936FE" w:rsidRDefault="002F3C69" w:rsidP="002F3C69">
      <w:pPr>
        <w:autoSpaceDE w:val="0"/>
        <w:autoSpaceDN w:val="0"/>
        <w:adjustRightInd w:val="0"/>
        <w:spacing w:after="0" w:line="480" w:lineRule="auto"/>
        <w:ind w:firstLine="36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Columns 1 and 2 of Table 3 report the results for the full sample. The direction of the estimated coefficient on STEM is negative, and its magnitude is </w:t>
      </w:r>
      <m:oMath>
        <m:r>
          <w:rPr>
            <w:rFonts w:ascii="Cambria Math" w:eastAsia="CMR12" w:hAnsi="Cambria Math" w:cs="Times New Roman"/>
            <w:sz w:val="24"/>
            <w:szCs w:val="24"/>
            <w14:ligatures w14:val="standardContextual"/>
          </w:rPr>
          <m:t>100 ×</m:t>
        </m:r>
        <m:d>
          <m:dPr>
            <m:ctrlPr>
              <w:rPr>
                <w:rFonts w:ascii="Cambria Math" w:eastAsia="CMR12" w:hAnsi="Cambria Math" w:cs="Times New Roman"/>
                <w:i/>
                <w:sz w:val="24"/>
                <w:szCs w:val="24"/>
                <w14:ligatures w14:val="standardContextual"/>
              </w:rPr>
            </m:ctrlPr>
          </m:dPr>
          <m:e>
            <m:sSup>
              <m:sSupPr>
                <m:ctrlPr>
                  <w:rPr>
                    <w:rFonts w:ascii="Cambria Math" w:eastAsia="CMR12" w:hAnsi="Cambria Math" w:cs="Times New Roman"/>
                    <w:i/>
                    <w:sz w:val="24"/>
                    <w:szCs w:val="24"/>
                    <w14:ligatures w14:val="standardContextual"/>
                  </w:rPr>
                </m:ctrlPr>
              </m:sSupPr>
              <m:e>
                <m:r>
                  <w:rPr>
                    <w:rFonts w:ascii="Cambria Math" w:eastAsia="CMR12" w:hAnsi="Cambria Math" w:cs="Times New Roman"/>
                    <w:sz w:val="24"/>
                    <w:szCs w:val="24"/>
                    <w14:ligatures w14:val="standardContextual"/>
                  </w:rPr>
                  <m:t>e</m:t>
                </m:r>
              </m:e>
              <m:sup>
                <m:r>
                  <w:rPr>
                    <w:rFonts w:ascii="Cambria Math" w:eastAsia="CMR12" w:hAnsi="Cambria Math" w:cs="Times New Roman"/>
                    <w:sz w:val="24"/>
                    <w:szCs w:val="24"/>
                    <w14:ligatures w14:val="standardContextual"/>
                  </w:rPr>
                  <m:t>-0.071</m:t>
                </m:r>
              </m:sup>
            </m:sSup>
            <m:r>
              <w:rPr>
                <w:rFonts w:ascii="Cambria Math" w:eastAsia="CMR12" w:hAnsi="Cambria Math" w:cs="Times New Roman"/>
                <w:sz w:val="24"/>
                <w:szCs w:val="24"/>
                <w14:ligatures w14:val="standardContextual"/>
              </w:rPr>
              <m:t>-1</m:t>
            </m:r>
          </m:e>
        </m:d>
        <m:r>
          <w:rPr>
            <w:rFonts w:ascii="Cambria Math" w:eastAsia="CMR12" w:hAnsi="Cambria Math" w:cs="Times New Roman"/>
            <w:sz w:val="24"/>
            <w:szCs w:val="24"/>
            <w14:ligatures w14:val="standardContextual"/>
          </w:rPr>
          <m:t>=-6.78%</m:t>
        </m:r>
      </m:oMath>
      <w:r w:rsidRPr="002936FE">
        <w:rPr>
          <w:rFonts w:ascii="Times New Roman" w:eastAsia="CMR12" w:hAnsi="Times New Roman" w:cs="Times New Roman"/>
          <w:sz w:val="24"/>
          <w:szCs w:val="24"/>
          <w14:ligatures w14:val="standardContextual"/>
        </w:rPr>
        <w:t>.</w:t>
      </w:r>
      <w:r w:rsidRPr="002936FE">
        <w:rPr>
          <w:rStyle w:val="FootnoteReference"/>
          <w:rFonts w:ascii="Times New Roman" w:eastAsia="CMR12" w:hAnsi="Times New Roman" w:cs="Times New Roman"/>
          <w:sz w:val="24"/>
          <w:szCs w:val="24"/>
          <w14:ligatures w14:val="standardContextual"/>
        </w:rPr>
        <w:footnoteReference w:id="14"/>
      </w:r>
      <w:r w:rsidRPr="002936FE">
        <w:rPr>
          <w:rFonts w:ascii="Times New Roman" w:eastAsia="CMR12" w:hAnsi="Times New Roman" w:cs="Times New Roman"/>
          <w:sz w:val="24"/>
          <w:szCs w:val="24"/>
          <w14:ligatures w14:val="standardContextual"/>
        </w:rPr>
        <w:t xml:space="preserve"> The coefficient on STEM reflects the pay gap between STEM versus non-STEM teachers in situations where the value of CB is zero, that is, the absence of CB laws. The lower salary earned by STEM teachers in the absence of CB rights could be due to various factors, including their lower duration of teaching experience resulting from higher attrition rates among STEM teachers. However, the positive and statistically significant coefficient on the </w:t>
      </w:r>
      <w:r w:rsidRPr="002936FE">
        <w:rPr>
          <w:rFonts w:ascii="Times New Roman" w:eastAsia="CMR12" w:hAnsi="Times New Roman" w:cs="Times New Roman"/>
          <w:sz w:val="24"/>
          <w:szCs w:val="24"/>
          <w14:ligatures w14:val="standardContextual"/>
        </w:rPr>
        <w:lastRenderedPageBreak/>
        <w:t xml:space="preserve">interaction between STEM and CB suggests that the gap is significantly reduced for those covered by collective bargaining. Specifically, the coefficient on the interaction between STEM and CB laws </w:t>
      </w:r>
      <m:oMath>
        <m:d>
          <m:dPr>
            <m:ctrlPr>
              <w:rPr>
                <w:rFonts w:ascii="Cambria Math" w:eastAsia="CMR12" w:hAnsi="Cambria Math" w:cs="Times New Roman"/>
                <w:i/>
                <w:sz w:val="24"/>
                <w:szCs w:val="24"/>
                <w14:ligatures w14:val="standardContextual"/>
              </w:rPr>
            </m:ctrlPr>
          </m:dPr>
          <m:e>
            <m:r>
              <w:rPr>
                <w:rFonts w:ascii="Cambria Math" w:eastAsia="CMR12" w:hAnsi="Cambria Math" w:cs="Times New Roman"/>
                <w:sz w:val="24"/>
                <w:szCs w:val="24"/>
                <w14:ligatures w14:val="standardContextual"/>
              </w:rPr>
              <m:t>CB*STEM</m:t>
            </m:r>
          </m:e>
        </m:d>
      </m:oMath>
      <w:r w:rsidRPr="002936FE">
        <w:rPr>
          <w:rFonts w:ascii="Times New Roman" w:eastAsia="CMR12" w:hAnsi="Times New Roman" w:cs="Times New Roman"/>
          <w:sz w:val="24"/>
          <w:szCs w:val="24"/>
          <w14:ligatures w14:val="standardContextual"/>
        </w:rPr>
        <w:t xml:space="preserve"> indicates that STEM teachers in mandatory states are paid about 6% higher than STEM teachers in nonmandatory states. These results are qualitatively consistent with Hoxby (1996) who finds that public school teachers in states with CB rights earn approximately 5 percent more than otherwise similar teachers in states without CB rights.</w:t>
      </w:r>
    </w:p>
    <w:p w14:paraId="15A3DDF0" w14:textId="77777777" w:rsidR="00F74885" w:rsidRPr="002936FE" w:rsidRDefault="002F3C69" w:rsidP="00F74885">
      <w:pPr>
        <w:autoSpaceDE w:val="0"/>
        <w:autoSpaceDN w:val="0"/>
        <w:adjustRightInd w:val="0"/>
        <w:spacing w:after="0" w:line="480" w:lineRule="auto"/>
        <w:ind w:firstLine="36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Columns 3-6 of Table 3 show the results for male and female teachers, separately. This stratification is of great interest, as both groups have different experiences and opportunities in the labor market. Furthermore, women have been predominant in the profession, with 76 percent of public-school teachers being women in the school year 2017-18, according to the National Center for Education Statistics. For this reason, we analyze the effects for both groups separately throughout the remainder of our analysis. As shown in columns 3 and 4, there is clear evidence that female STEM teachers not covered by collective bargaining face a larger pay penalty than those who benefit from collective bargaining. In terms of magnitude, our results suggest that mandatory CB laws are associated with an approximately 7.47 percent wage premium for female teachers in the STEM field. Interestingly, such a premium associated with CB does not remain significant for male teachers. The estimated coefficient on the </w:t>
      </w:r>
      <m:oMath>
        <m:r>
          <w:rPr>
            <w:rFonts w:ascii="Cambria Math" w:eastAsia="CMR12" w:hAnsi="Cambria Math" w:cs="Times New Roman"/>
            <w:sz w:val="24"/>
            <w:szCs w:val="24"/>
            <w14:ligatures w14:val="standardContextual"/>
          </w:rPr>
          <m:t>CB*STEM</m:t>
        </m:r>
      </m:oMath>
      <w:r w:rsidRPr="002936FE">
        <w:rPr>
          <w:rFonts w:ascii="Times New Roman" w:eastAsia="CMR12" w:hAnsi="Times New Roman" w:cs="Times New Roman"/>
          <w:sz w:val="24"/>
          <w:szCs w:val="24"/>
          <w14:ligatures w14:val="standardContextual"/>
        </w:rPr>
        <w:t xml:space="preserve"> for men presented in Columns 5 and 6 is small and negative, and it is not statistically different from zero.</w:t>
      </w:r>
      <w:r w:rsidRPr="002936FE">
        <w:rPr>
          <w:rStyle w:val="FootnoteReference"/>
          <w:rFonts w:ascii="Times New Roman" w:eastAsia="CMR12" w:hAnsi="Times New Roman" w:cs="Times New Roman"/>
          <w:sz w:val="24"/>
          <w:szCs w:val="24"/>
          <w14:ligatures w14:val="standardContextual"/>
        </w:rPr>
        <w:footnoteReference w:id="15"/>
      </w:r>
      <w:r w:rsidRPr="002936FE">
        <w:rPr>
          <w:rFonts w:ascii="Times New Roman" w:eastAsia="CMR12" w:hAnsi="Times New Roman" w:cs="Times New Roman"/>
          <w:sz w:val="24"/>
          <w:szCs w:val="24"/>
          <w14:ligatures w14:val="standardContextual"/>
        </w:rPr>
        <w:t xml:space="preserve"> </w:t>
      </w:r>
    </w:p>
    <w:p w14:paraId="741FAD0B" w14:textId="64C5DC5E" w:rsidR="002F3C69" w:rsidRPr="002936FE" w:rsidRDefault="002F3C69" w:rsidP="00F74885">
      <w:pPr>
        <w:autoSpaceDE w:val="0"/>
        <w:autoSpaceDN w:val="0"/>
        <w:adjustRightInd w:val="0"/>
        <w:spacing w:after="0" w:line="480" w:lineRule="auto"/>
        <w:ind w:firstLine="36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Our results complement the findings in a substantial body of literature that shows the impacts of teachers’ unions on various aspects, including starting salaries, returns to degree, </w:t>
      </w:r>
      <w:r w:rsidRPr="002936FE">
        <w:rPr>
          <w:rFonts w:ascii="Times New Roman" w:eastAsia="CMR12" w:hAnsi="Times New Roman" w:cs="Times New Roman"/>
          <w:sz w:val="24"/>
          <w:szCs w:val="24"/>
          <w14:ligatures w14:val="standardContextual"/>
        </w:rPr>
        <w:lastRenderedPageBreak/>
        <w:t xml:space="preserve">returns to experience, and their differential effects across gender (e.g., Ballou and </w:t>
      </w:r>
      <w:proofErr w:type="spellStart"/>
      <w:r w:rsidRPr="002936FE">
        <w:rPr>
          <w:rFonts w:ascii="Times New Roman" w:eastAsia="CMR12" w:hAnsi="Times New Roman" w:cs="Times New Roman"/>
          <w:sz w:val="24"/>
          <w:szCs w:val="24"/>
          <w14:ligatures w14:val="standardContextual"/>
        </w:rPr>
        <w:t>Podgursky</w:t>
      </w:r>
      <w:proofErr w:type="spellEnd"/>
      <w:r w:rsidRPr="002936FE">
        <w:rPr>
          <w:rFonts w:ascii="Times New Roman" w:eastAsia="CMR12" w:hAnsi="Times New Roman" w:cs="Times New Roman"/>
          <w:sz w:val="24"/>
          <w:szCs w:val="24"/>
          <w14:ligatures w14:val="standardContextual"/>
        </w:rPr>
        <w:t xml:space="preserve"> 2002, Grissom and Strunk 2012, Han 2020, West and </w:t>
      </w:r>
      <w:proofErr w:type="spellStart"/>
      <w:r w:rsidRPr="002936FE">
        <w:rPr>
          <w:rFonts w:ascii="Times New Roman" w:eastAsia="CMR12" w:hAnsi="Times New Roman" w:cs="Times New Roman"/>
          <w:sz w:val="24"/>
          <w:szCs w:val="24"/>
          <w14:ligatures w14:val="standardContextual"/>
        </w:rPr>
        <w:t>Mykerezi</w:t>
      </w:r>
      <w:proofErr w:type="spellEnd"/>
      <w:r w:rsidRPr="002936FE">
        <w:rPr>
          <w:rFonts w:ascii="Times New Roman" w:eastAsia="CMR12" w:hAnsi="Times New Roman" w:cs="Times New Roman"/>
          <w:sz w:val="24"/>
          <w:szCs w:val="24"/>
          <w14:ligatures w14:val="standardContextual"/>
        </w:rPr>
        <w:t xml:space="preserve"> 2011, and Biasi and Sarsons 2022). Unlike base salary, returns to degree, and returns to experience, unions may not directly bargain for teaching subject. Therefore, our results reflect the second-order or indirect effects of unions on the salaries of STEM teachers, which can stem from multiple sources such as attrition and retention.</w:t>
      </w:r>
    </w:p>
    <w:p w14:paraId="498554D0" w14:textId="77777777" w:rsidR="00F74885" w:rsidRPr="002936FE" w:rsidRDefault="002F3C69" w:rsidP="00F74885">
      <w:pPr>
        <w:autoSpaceDE w:val="0"/>
        <w:autoSpaceDN w:val="0"/>
        <w:adjustRightInd w:val="0"/>
        <w:spacing w:after="0" w:line="480" w:lineRule="auto"/>
        <w:ind w:firstLine="36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The literature studying the effects of unions on attrition and the gender pay gap helps explain and illustrate our results. If unions were able to reduce attrition, average teacher salaries would increase when unions negotiate for greater returns to experience. Considering that STEM teachers tend to have better opportunities outside of teaching, they should be more responsive to salaries and working environment (Ingersoll and May 2012, Brunner et al. 2019, Han and Hur 2022.) In the first study to investigate the role of teacher unions on attrition by teaching subject, Han (2023) shows that CB rights affect STEM teachers’ attrition rates more than non-STEM teachers. This line of research shows the possibility that reduced attrition rates may amplify returns for STEM teachers through longer accumulated experience. In the next section, we explore how CB rights affect teachers’ attrition by analyzing the implied duration of experience.</w:t>
      </w:r>
    </w:p>
    <w:p w14:paraId="4C84FB69" w14:textId="12CFD0AE" w:rsidR="002F3C69" w:rsidRPr="002936FE" w:rsidRDefault="002F3C69" w:rsidP="00F74885">
      <w:pPr>
        <w:autoSpaceDE w:val="0"/>
        <w:autoSpaceDN w:val="0"/>
        <w:adjustRightInd w:val="0"/>
        <w:spacing w:after="0" w:line="480" w:lineRule="auto"/>
        <w:ind w:firstLine="36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Furthermore, our findings that female STEM teachers benefit the most from the right to bargain collectively are consistent with an emerging literature. For example, Cahen (2019) argues that a lack of collective bargaining legislation leads to individualized labor contracts. In such an environment, women are more likely to be subjected to wage discrimination. Our results also support the findings by Han (2020) which suggests that teachers’ union power is associated with a reduced gender pay gap. Relatedly, using quasi-exogenous variation in the timing of the expiration of CB rights in Wisconsin, Biasi and Sarsons (2022) show that flexible </w:t>
      </w:r>
      <w:r w:rsidRPr="002936FE">
        <w:rPr>
          <w:rFonts w:ascii="Times New Roman" w:eastAsia="CMR12" w:hAnsi="Times New Roman" w:cs="Times New Roman"/>
          <w:sz w:val="24"/>
          <w:szCs w:val="24"/>
          <w14:ligatures w14:val="standardContextual"/>
        </w:rPr>
        <w:lastRenderedPageBreak/>
        <w:t>pay disproportionately lowers the salaries of female teachers compared to otherwise similar male teachers.</w:t>
      </w:r>
    </w:p>
    <w:p w14:paraId="5464EDC1" w14:textId="77777777" w:rsidR="002F3C69" w:rsidRPr="002936FE" w:rsidRDefault="002F3C69" w:rsidP="002F3C69">
      <w:pPr>
        <w:pStyle w:val="ListParagraph"/>
        <w:widowControl w:val="0"/>
        <w:numPr>
          <w:ilvl w:val="0"/>
          <w:numId w:val="1"/>
        </w:numPr>
        <w:autoSpaceDE w:val="0"/>
        <w:autoSpaceDN w:val="0"/>
        <w:adjustRightInd w:val="0"/>
        <w:spacing w:after="0" w:line="480" w:lineRule="auto"/>
        <w:ind w:leftChars="0"/>
        <w:jc w:val="both"/>
        <w:rPr>
          <w:rFonts w:ascii="Times New Roman" w:eastAsia="CMR12" w:hAnsi="Times New Roman" w:cs="Times New Roman"/>
          <w:b/>
          <w:bCs/>
          <w:sz w:val="24"/>
          <w:szCs w:val="24"/>
          <w14:ligatures w14:val="standardContextual"/>
        </w:rPr>
      </w:pPr>
      <w:r w:rsidRPr="002936FE">
        <w:rPr>
          <w:rFonts w:ascii="Times New Roman" w:eastAsia="CMR12" w:hAnsi="Times New Roman" w:cs="Times New Roman"/>
          <w:b/>
          <w:bCs/>
          <w:sz w:val="24"/>
          <w:szCs w:val="24"/>
          <w14:ligatures w14:val="standardContextual"/>
        </w:rPr>
        <w:t>Robustness Checks and Mechanism</w:t>
      </w:r>
    </w:p>
    <w:p w14:paraId="1400A5E7" w14:textId="688340D9" w:rsidR="00F74885" w:rsidRPr="002936FE" w:rsidRDefault="00F74885" w:rsidP="00F74885">
      <w:pPr>
        <w:pStyle w:val="ListParagraph"/>
        <w:widowControl w:val="0"/>
        <w:numPr>
          <w:ilvl w:val="1"/>
          <w:numId w:val="1"/>
        </w:numPr>
        <w:autoSpaceDE w:val="0"/>
        <w:autoSpaceDN w:val="0"/>
        <w:adjustRightInd w:val="0"/>
        <w:spacing w:after="0" w:line="480" w:lineRule="auto"/>
        <w:ind w:leftChars="0"/>
        <w:jc w:val="both"/>
        <w:rPr>
          <w:rFonts w:ascii="Times New Roman" w:eastAsia="CMR12" w:hAnsi="Times New Roman" w:cs="Times New Roman"/>
          <w:b/>
          <w:bCs/>
          <w:sz w:val="24"/>
          <w:szCs w:val="24"/>
          <w14:ligatures w14:val="standardContextual"/>
        </w:rPr>
      </w:pPr>
      <w:r w:rsidRPr="002936FE">
        <w:rPr>
          <w:rFonts w:ascii="Times New Roman" w:eastAsia="CMR12" w:hAnsi="Times New Roman" w:cs="Times New Roman"/>
          <w:b/>
          <w:bCs/>
          <w:sz w:val="24"/>
          <w:szCs w:val="24"/>
          <w14:ligatures w14:val="standardContextual"/>
        </w:rPr>
        <w:t>Robustness Checks</w:t>
      </w:r>
    </w:p>
    <w:p w14:paraId="0B7A4034" w14:textId="77777777" w:rsidR="00F74885" w:rsidRPr="002936FE" w:rsidRDefault="00F74885" w:rsidP="00F74885">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Despite the research design that allowed us to uncover compelling evidence on the effect of CB laws on STEM teachers, it is still possible, though of less concern, that unobservable factors are driving our results. Therefore, we conduct robustness checks to provide further support against the role of confounding factors or other alternative explanations.</w:t>
      </w:r>
    </w:p>
    <w:p w14:paraId="4F9A2911" w14:textId="77777777" w:rsidR="00F74885" w:rsidRPr="002936FE" w:rsidRDefault="00F74885" w:rsidP="00F74885">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Local amenities.</w:t>
      </w:r>
      <w:r w:rsidRPr="002936FE">
        <w:rPr>
          <w:rFonts w:ascii="Times New Roman" w:eastAsia="CMBX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Brueckner and Neumark (2014) reckon that localities having strong amenities help workers to increase their rent-extraction ability leading to a larger pay relative to public sector workers. Their empirical findings show that public sector workers in states permitting collective bargaining accrue a higher wage premium. The connection between amenities and public workers’ wages operates through the channel that the higher desire of potential residents to live in high-amenity areas and their larger willingness to pay for that purpose provide better opportunities for rent-extraction. This improves the influence of unionized public sector workers through increased opportunities for campaign contributions and for organizing events. Likewise, studies regarding teachers’ decisions with regards to locations suggest that teachers prefer to be located and teach in high-income areas. To address a possible concern that high amenities are likely correlated with both the enactment of CB laws and teachers’ earnings, we expand our main model by controlling for the median household income interacted with CB.</w:t>
      </w:r>
      <w:r w:rsidRPr="002936FE">
        <w:rPr>
          <w:rStyle w:val="FootnoteReference"/>
          <w:rFonts w:ascii="Times New Roman" w:eastAsia="CMR12" w:hAnsi="Times New Roman" w:cs="Times New Roman"/>
          <w:sz w:val="24"/>
          <w:szCs w:val="24"/>
          <w14:ligatures w14:val="standardContextual"/>
        </w:rPr>
        <w:footnoteReference w:id="16"/>
      </w:r>
      <w:r w:rsidRPr="002936FE">
        <w:rPr>
          <w:rFonts w:ascii="Times New Roman" w:eastAsia="CMR8"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Table 4 contains the results. Columns 1 and 2 present the results for women and men, respectively. Controlling for the median household income yields </w:t>
      </w:r>
      <w:r w:rsidRPr="002936FE">
        <w:rPr>
          <w:rFonts w:ascii="Times New Roman" w:eastAsia="CMR12" w:hAnsi="Times New Roman" w:cs="Times New Roman"/>
          <w:sz w:val="24"/>
          <w:szCs w:val="24"/>
          <w14:ligatures w14:val="standardContextual"/>
        </w:rPr>
        <w:lastRenderedPageBreak/>
        <w:t>qualitatively similar results. Additionally, we use three additional amenity variables following Brueckner and Neumark (2014), which are mild temperate, dry weather, and coastal proximity.</w:t>
      </w:r>
      <w:r w:rsidRPr="002936FE">
        <w:rPr>
          <w:rStyle w:val="FootnoteReference"/>
          <w:rFonts w:ascii="Times New Roman" w:eastAsia="CMR12" w:hAnsi="Times New Roman" w:cs="Times New Roman"/>
          <w:sz w:val="24"/>
          <w:szCs w:val="24"/>
          <w14:ligatures w14:val="standardContextual"/>
        </w:rPr>
        <w:footnoteReference w:id="17"/>
      </w:r>
      <w:r w:rsidRPr="002936FE">
        <w:rPr>
          <w:rFonts w:ascii="Times New Roman" w:eastAsia="CMR8"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As before, we interact each variable with CB and include them as additional controls. The results are qualitatively similar (Columns 3-4 of 4).</w:t>
      </w:r>
    </w:p>
    <w:p w14:paraId="4A354E2B" w14:textId="77777777" w:rsidR="00447869" w:rsidRPr="002936FE" w:rsidRDefault="00F74885" w:rsidP="00447869">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Economies of size.</w:t>
      </w:r>
      <w:r w:rsidRPr="002936FE">
        <w:rPr>
          <w:rFonts w:ascii="Times New Roman" w:eastAsia="CMBX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Another potential issue that can compound our findings arises from economies of size associated with population density (Duncombe and Yinger 2007). Economies of size characterizes that spending per pupil decreases with an increase in the number of pupils. For example, in rural areas, a considerable portion of schooling resources may go towards transportation costs, which means a lower amount of spending available for teachers. The fixed costs of administrators such as board of directors and of physical capital such as labs and buildings decline with a rise in students. Considering that more densely populated states are more likely to have CB laws, it is a possibility that our results may be picking up such a mechanical relationship. Therefore, we run our main model controlling for population density’s interaction with CB. As reported in Columns 5 and 6 of Table 4, the estimates closely resemble the baseline estimates.</w:t>
      </w:r>
    </w:p>
    <w:p w14:paraId="252DE276" w14:textId="77777777" w:rsidR="00447869" w:rsidRPr="002936FE" w:rsidRDefault="00447869" w:rsidP="00447869">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Political Leaning.</w:t>
      </w:r>
      <w:r w:rsidRPr="002936FE">
        <w:rPr>
          <w:rFonts w:ascii="Times New Roman" w:eastAsia="CMBX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Given the fact that the Democratic Party is more supportive of organized labor (Rose and </w:t>
      </w:r>
      <w:proofErr w:type="spellStart"/>
      <w:r w:rsidRPr="002936FE">
        <w:rPr>
          <w:rFonts w:ascii="Times New Roman" w:eastAsia="CMR12" w:hAnsi="Times New Roman" w:cs="Times New Roman"/>
          <w:sz w:val="24"/>
          <w:szCs w:val="24"/>
          <w14:ligatures w14:val="standardContextual"/>
        </w:rPr>
        <w:t>Sonstelie</w:t>
      </w:r>
      <w:proofErr w:type="spellEnd"/>
      <w:r w:rsidRPr="002936FE">
        <w:rPr>
          <w:rFonts w:ascii="Times New Roman" w:eastAsia="CMR12" w:hAnsi="Times New Roman" w:cs="Times New Roman"/>
          <w:sz w:val="24"/>
          <w:szCs w:val="24"/>
          <w14:ligatures w14:val="standardContextual"/>
        </w:rPr>
        <w:t xml:space="preserve"> 2010), the composition of voters can influence the collective bargaining process. Using data from Pennsylvania, Babcock and Engberg (1999) show that the return to years of experience is much larger in areas where residents have affirmative views about unions. We expand our baseline specification to include the interaction between the Democratic party’s vote shares in presidential elections and CB. As shown in Columns 7 and 8 of Table 4, our results are robust to this inclusion.</w:t>
      </w:r>
    </w:p>
    <w:p w14:paraId="4201FB7E" w14:textId="77777777" w:rsidR="00447869" w:rsidRPr="002936FE" w:rsidRDefault="00447869" w:rsidP="00447869">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lastRenderedPageBreak/>
        <w:t>Additional Checks.</w:t>
      </w:r>
      <w:r w:rsidRPr="002936FE">
        <w:rPr>
          <w:rFonts w:ascii="Times New Roman" w:eastAsia="CMBX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As noted ahead, we conduct two additional checks to ensure that our results are not artifact of our data construction. First, we expand the age group to include individuals aged 25 to 65 years (Table A2). Second, we incorporate kindergarten and early school teachers into our analysis (TableA3). Furthermore, Goldhaber, Lavery, and Theobald (2014) show that teacher contracts have a strong geographic relationship to one another, suggesting the existence of spatial relationships and spillovers of collective bargaining in nearby school districts. Considering this, we estimate the model without commuting zone fixed effects and compare the outcomes in CB-mandated versus CB-prohibited states. This also enables us to ensure the generalizability of our results beyond cross-bordering CZs. The resulting estimates yield the same conclusion (Table A4).</w:t>
      </w:r>
    </w:p>
    <w:p w14:paraId="61F7B5F4" w14:textId="5895A49E" w:rsidR="00447869" w:rsidRPr="002936FE" w:rsidRDefault="00447869" w:rsidP="00447869">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Alternative categorizations of treatment and control groups.</w:t>
      </w:r>
      <w:r w:rsidRPr="002936FE">
        <w:rPr>
          <w:rFonts w:ascii="Times New Roman" w:eastAsia="CMBX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As noted, previously, our treatment group includes states (</w:t>
      </w:r>
      <w:proofErr w:type="spellStart"/>
      <w:r w:rsidRPr="002936FE">
        <w:rPr>
          <w:rFonts w:ascii="Times New Roman" w:eastAsia="CMR12" w:hAnsi="Times New Roman" w:cs="Times New Roman"/>
          <w:sz w:val="24"/>
          <w:szCs w:val="24"/>
          <w14:ligatures w14:val="standardContextual"/>
        </w:rPr>
        <w:t>i</w:t>
      </w:r>
      <w:proofErr w:type="spellEnd"/>
      <w:r w:rsidRPr="002936FE">
        <w:rPr>
          <w:rFonts w:ascii="Times New Roman" w:eastAsia="CMR12" w:hAnsi="Times New Roman" w:cs="Times New Roman"/>
          <w:sz w:val="24"/>
          <w:szCs w:val="24"/>
          <w14:ligatures w14:val="standardContextual"/>
        </w:rPr>
        <w:t xml:space="preserve">) that mandate CB rights and allow agency fees and (ii) that mandate CB rights but ban agency fees. We estimate the heterogeneous effects separately for those two types of states. As reported in Columns 1-2 of Table A5, the effects appear to be concentrated among states that mandate CB rights and allow agency fees. The direction of the effect on states that mandate CB rights but ban agency fees is still positive, but it is imprecisely estimated (Columns 3-4 of Table A5). Likewise, in yet another robustness check, we only include “prohibited” states that explicitly ban school districts from collectively bargaining with unions in our control group, thus excluding “permissible” states that do not mandate CB but permit them. Columns 5-6 of Table A5 report the results, which are similar to our baselines estimates. </w:t>
      </w:r>
    </w:p>
    <w:p w14:paraId="1F6AFFBB" w14:textId="03458B73" w:rsidR="00447869" w:rsidRPr="002936FE" w:rsidRDefault="00447869" w:rsidP="002936FE">
      <w:pPr>
        <w:autoSpaceDE w:val="0"/>
        <w:autoSpaceDN w:val="0"/>
        <w:adjustRightInd w:val="0"/>
        <w:spacing w:line="480" w:lineRule="auto"/>
        <w:jc w:val="both"/>
        <w:rPr>
          <w:rFonts w:ascii="Times New Roman" w:eastAsia="CMR12"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Using Non-Teachers as a Control Group.</w:t>
      </w:r>
      <w:r w:rsidRPr="002936FE">
        <w:rPr>
          <w:rFonts w:ascii="Times New Roman" w:eastAsia="CMBX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To further check the robustness of our findings, we use non-teachers as an additional control group. Using a new source of variation coming from the comparison between STEM teachers and non-teachers in the private sector helps to </w:t>
      </w:r>
      <w:r w:rsidRPr="002936FE">
        <w:rPr>
          <w:rFonts w:ascii="Times New Roman" w:eastAsia="CMR12" w:hAnsi="Times New Roman" w:cs="Times New Roman"/>
          <w:sz w:val="24"/>
          <w:szCs w:val="24"/>
          <w14:ligatures w14:val="standardContextual"/>
        </w:rPr>
        <w:lastRenderedPageBreak/>
        <w:t>account for any unobservable confounders that affect both teachers and non-teachers within a CZ in a similar fashion. We use the following regression:</w:t>
      </w:r>
    </w:p>
    <w:p w14:paraId="09CF466A" w14:textId="1E037047" w:rsidR="00447869" w:rsidRPr="002936FE" w:rsidRDefault="00000000" w:rsidP="002936FE">
      <w:pPr>
        <w:autoSpaceDE w:val="0"/>
        <w:autoSpaceDN w:val="0"/>
        <w:adjustRightInd w:val="0"/>
        <w:spacing w:line="480" w:lineRule="auto"/>
        <w:jc w:val="both"/>
        <w:rPr>
          <w:rFonts w:ascii="Times New Roman" w:eastAsia="CMR12" w:hAnsi="Times New Roman" w:cs="Times New Roman"/>
          <w:sz w:val="24"/>
          <w:szCs w:val="24"/>
          <w14:ligatures w14:val="standardContextual"/>
        </w:rPr>
      </w:pPr>
      <m:oMath>
        <m:func>
          <m:funcPr>
            <m:ctrlPr>
              <w:rPr>
                <w:rFonts w:ascii="Cambria Math" w:eastAsia="CMR12" w:hAnsi="Cambria Math" w:cs="Times New Roman"/>
                <w:sz w:val="24"/>
                <w:szCs w:val="24"/>
                <w14:ligatures w14:val="standardContextual"/>
              </w:rPr>
            </m:ctrlPr>
          </m:funcPr>
          <m:fName>
            <m:r>
              <w:rPr>
                <w:rFonts w:ascii="Cambria Math" w:eastAsia="CMR12" w:hAnsi="Cambria Math" w:cs="Times New Roman"/>
                <w:sz w:val="24"/>
                <w:szCs w:val="24"/>
                <w14:ligatures w14:val="standardContextual"/>
              </w:rPr>
              <m:t>ln</m:t>
            </m:r>
          </m:fName>
          <m:e>
            <m:d>
              <m:dPr>
                <m:ctrlPr>
                  <w:rPr>
                    <w:rFonts w:ascii="Cambria Math" w:eastAsia="CMR12" w:hAnsi="Cambria Math" w:cs="Times New Roman"/>
                    <w:i/>
                    <w:sz w:val="24"/>
                    <w:szCs w:val="24"/>
                    <w14:ligatures w14:val="standardContextual"/>
                  </w:rPr>
                </m:ctrlPr>
              </m:dPr>
              <m:e>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earnings</m:t>
                    </m:r>
                  </m:e>
                  <m:sub>
                    <m:r>
                      <w:rPr>
                        <w:rFonts w:ascii="Cambria Math" w:eastAsia="CMR12" w:hAnsi="Cambria Math" w:cs="Times New Roman"/>
                        <w:sz w:val="24"/>
                        <w:szCs w:val="24"/>
                        <w14:ligatures w14:val="standardContextual"/>
                      </w:rPr>
                      <m:t>icst</m:t>
                    </m:r>
                  </m:sub>
                </m:sSub>
              </m:e>
            </m:d>
          </m:e>
        </m:func>
        <m:r>
          <w:rPr>
            <w:rFonts w:ascii="Cambria Math" w:eastAsia="CMR12" w:hAnsi="Cambria Math" w:cs="Times New Roman"/>
            <w:sz w:val="24"/>
            <w:szCs w:val="24"/>
            <w14:ligatures w14:val="standardContextual"/>
          </w:rPr>
          <m:t>=α+</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2</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T</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2</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STEM</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3</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T</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STEM</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4</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T</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CB</m:t>
            </m:r>
          </m:e>
          <m:sub>
            <m:r>
              <w:rPr>
                <w:rFonts w:ascii="Cambria Math" w:eastAsia="CMR12" w:hAnsi="Cambria Math" w:cs="Times New Roman"/>
                <w:sz w:val="24"/>
                <w:szCs w:val="24"/>
                <w14:ligatures w14:val="standardContextual"/>
              </w:rPr>
              <m:t>s</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5</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STEM</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CB</m:t>
            </m:r>
          </m:e>
          <m:sub>
            <m:r>
              <w:rPr>
                <w:rFonts w:ascii="Cambria Math" w:eastAsia="CMR12" w:hAnsi="Cambria Math" w:cs="Times New Roman"/>
                <w:sz w:val="24"/>
                <w:szCs w:val="24"/>
                <w14:ligatures w14:val="standardContextual"/>
              </w:rPr>
              <m:t>s</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6</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T</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STEM</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CB</m:t>
            </m:r>
          </m:e>
          <m:sub>
            <m:r>
              <w:rPr>
                <w:rFonts w:ascii="Cambria Math" w:eastAsia="CMR12" w:hAnsi="Cambria Math" w:cs="Times New Roman"/>
                <w:sz w:val="24"/>
                <w:szCs w:val="24"/>
                <w14:ligatures w14:val="standardContextual"/>
              </w:rPr>
              <m:t>s</m:t>
            </m:r>
          </m:sub>
        </m:sSub>
        <m:r>
          <w:rPr>
            <w:rFonts w:ascii="Cambria Math" w:eastAsia="CMR12" w:hAnsi="Cambria Math" w:cs="Times New Roman"/>
            <w:sz w:val="24"/>
            <w:szCs w:val="24"/>
            <w14:ligatures w14:val="standardContextual"/>
          </w:rPr>
          <m:t>+</m:t>
        </m:r>
        <m:sSubSup>
          <m:sSubSupPr>
            <m:ctrlPr>
              <w:rPr>
                <w:rFonts w:ascii="Cambria Math" w:eastAsia="CMR12" w:hAnsi="Cambria Math" w:cs="Times New Roman"/>
                <w:i/>
                <w:sz w:val="24"/>
                <w:szCs w:val="24"/>
                <w14:ligatures w14:val="standardContextual"/>
              </w:rPr>
            </m:ctrlPr>
          </m:sSubSupPr>
          <m:e>
            <m:r>
              <w:rPr>
                <w:rFonts w:ascii="Cambria Math" w:eastAsia="CMR12" w:hAnsi="Cambria Math" w:cs="Times New Roman"/>
                <w:sz w:val="24"/>
                <w:szCs w:val="24"/>
                <w14:ligatures w14:val="standardContextual"/>
              </w:rPr>
              <m:t>X</m:t>
            </m:r>
          </m:e>
          <m:sub>
            <m:r>
              <w:rPr>
                <w:rFonts w:ascii="Cambria Math" w:eastAsia="CMR12" w:hAnsi="Cambria Math" w:cs="Times New Roman"/>
                <w:sz w:val="24"/>
                <w:szCs w:val="24"/>
                <w14:ligatures w14:val="standardContextual"/>
              </w:rPr>
              <m:t>icst</m:t>
            </m:r>
          </m:sub>
          <m:sup>
            <m:r>
              <w:rPr>
                <w:rFonts w:ascii="Cambria Math" w:eastAsia="CMR12" w:hAnsi="Cambria Math" w:cs="Times New Roman"/>
                <w:sz w:val="24"/>
                <w:szCs w:val="24"/>
                <w14:ligatures w14:val="standardContextual"/>
              </w:rPr>
              <m:t>'</m:t>
            </m:r>
          </m:sup>
        </m:sSubSup>
        <m:r>
          <w:rPr>
            <w:rFonts w:ascii="Cambria Math" w:eastAsia="CMR12" w:hAnsi="Cambria Math" w:cs="Times New Roman"/>
            <w:sz w:val="24"/>
            <w:szCs w:val="24"/>
            <w14:ligatures w14:val="standardContextual"/>
          </w:rPr>
          <m:t>β+</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δ</m:t>
            </m:r>
          </m:e>
          <m:sub>
            <m:r>
              <w:rPr>
                <w:rFonts w:ascii="Cambria Math" w:eastAsia="CMR12" w:hAnsi="Cambria Math" w:cs="Times New Roman"/>
                <w:sz w:val="24"/>
                <w:szCs w:val="24"/>
                <w14:ligatures w14:val="standardContextual"/>
              </w:rPr>
              <m:t>ct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γ</m:t>
            </m:r>
          </m:e>
          <m:sub>
            <m:r>
              <w:rPr>
                <w:rFonts w:ascii="Cambria Math" w:eastAsia="CMR12" w:hAnsi="Cambria Math" w:cs="Times New Roman"/>
                <w:sz w:val="24"/>
                <w:szCs w:val="24"/>
                <w14:ligatures w14:val="standardContextual"/>
              </w:rPr>
              <m:t>s</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ϵ</m:t>
            </m:r>
          </m:e>
          <m:sub>
            <m:r>
              <w:rPr>
                <w:rFonts w:ascii="Cambria Math" w:eastAsia="CMR12" w:hAnsi="Cambria Math" w:cs="Times New Roman"/>
                <w:sz w:val="24"/>
                <w:szCs w:val="24"/>
                <w14:ligatures w14:val="standardContextual"/>
              </w:rPr>
              <m:t>icst</m:t>
            </m:r>
          </m:sub>
        </m:sSub>
      </m:oMath>
      <w:r w:rsidR="00447869" w:rsidRPr="002936FE">
        <w:rPr>
          <w:rFonts w:ascii="Times New Roman" w:eastAsia="CMR12" w:hAnsi="Times New Roman" w:cs="Times New Roman"/>
          <w:sz w:val="24"/>
          <w:szCs w:val="24"/>
          <w14:ligatures w14:val="standardContextual"/>
        </w:rPr>
        <w:t xml:space="preserve">            (3)</w:t>
      </w:r>
    </w:p>
    <w:p w14:paraId="1CDC9B24" w14:textId="77777777" w:rsidR="00447869" w:rsidRPr="002936FE" w:rsidRDefault="00447869" w:rsidP="00447869">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In this model, </w:t>
      </w:r>
      <w:r w:rsidRPr="002936FE">
        <w:rPr>
          <w:rFonts w:ascii="Times New Roman" w:eastAsia="CMMI12" w:hAnsi="Times New Roman" w:cs="Times New Roman"/>
          <w:sz w:val="24"/>
          <w:szCs w:val="24"/>
          <w14:ligatures w14:val="standardContextual"/>
        </w:rPr>
        <w:t xml:space="preserve">T </w:t>
      </w:r>
      <w:r w:rsidRPr="002936FE">
        <w:rPr>
          <w:rFonts w:ascii="Times New Roman" w:eastAsia="CMR12" w:hAnsi="Times New Roman" w:cs="Times New Roman"/>
          <w:sz w:val="24"/>
          <w:szCs w:val="24"/>
          <w14:ligatures w14:val="standardContextual"/>
        </w:rPr>
        <w:t xml:space="preserve">is an indicator variable that takes the value of one for public-school teachers, zero otherwise. Other terms are defined as above. </w:t>
      </w:r>
      <m:oMath>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6</m:t>
            </m:r>
          </m:sub>
        </m:sSub>
      </m:oMath>
      <w:r w:rsidRPr="002936FE">
        <w:rPr>
          <w:rFonts w:ascii="Times New Roman" w:eastAsia="CMR12" w:hAnsi="Times New Roman" w:cs="Times New Roman"/>
          <w:sz w:val="24"/>
          <w:szCs w:val="24"/>
          <w14:ligatures w14:val="standardContextual"/>
        </w:rPr>
        <w:t>, the coefficient on the interaction term</w:t>
      </w:r>
      <w:r w:rsidRPr="002936FE">
        <w:rPr>
          <w:rFonts w:ascii="Times New Roman" w:eastAsia="CMMI12" w:hAnsi="Times New Roman" w:cs="Times New Roman"/>
          <w:sz w:val="24"/>
          <w:szCs w:val="24"/>
          <w14:ligatures w14:val="standardContextual"/>
        </w:rPr>
        <w:t xml:space="preserve"> </w:t>
      </w:r>
      <m:oMath>
        <m:r>
          <w:rPr>
            <w:rFonts w:ascii="Cambria Math" w:eastAsia="CMMI12" w:hAnsi="Cambria Math" w:cs="Times New Roman"/>
            <w:sz w:val="24"/>
            <w:szCs w:val="24"/>
            <w14:ligatures w14:val="standardContextual"/>
          </w:rPr>
          <m:t>T*STEM*CB</m:t>
        </m:r>
      </m:oMath>
      <w:r w:rsidRPr="002936FE">
        <w:rPr>
          <w:rFonts w:ascii="Times New Roman" w:eastAsia="CMR12" w:hAnsi="Times New Roman" w:cs="Times New Roman"/>
          <w:sz w:val="24"/>
          <w:szCs w:val="24"/>
          <w14:ligatures w14:val="standardContextual"/>
        </w:rPr>
        <w:t>, captures the effect of CB laws on STEM teachers. This coefficient can be interpreted as the difference in the earnings of STEM-teachers between CB-mandatory and CB-non-mandatory areas, compared to the difference in earnings between STEM-teachers and non-teachers. Table 5 presents the results for men and women separately. Female STEM teachers in mandatory states are paid about 8.3 percent higher than otherwise similar STEM teachers in non-mandatory states. This exercise further strengthens the validity of our baseline estimates.</w:t>
      </w:r>
    </w:p>
    <w:p w14:paraId="47E807CF" w14:textId="7046DC83" w:rsidR="00447869" w:rsidRPr="002936FE" w:rsidRDefault="00447869" w:rsidP="00447869">
      <w:pPr>
        <w:pStyle w:val="ListParagraph"/>
        <w:numPr>
          <w:ilvl w:val="1"/>
          <w:numId w:val="1"/>
        </w:numPr>
        <w:autoSpaceDE w:val="0"/>
        <w:autoSpaceDN w:val="0"/>
        <w:adjustRightInd w:val="0"/>
        <w:spacing w:after="0" w:line="480" w:lineRule="auto"/>
        <w:ind w:leftChars="0"/>
        <w:jc w:val="both"/>
        <w:rPr>
          <w:rFonts w:ascii="Times New Roman" w:eastAsia="CMR12" w:hAnsi="Times New Roman" w:cs="Times New Roman"/>
          <w:b/>
          <w:bCs/>
          <w:sz w:val="24"/>
          <w:szCs w:val="24"/>
          <w14:ligatures w14:val="standardContextual"/>
        </w:rPr>
      </w:pPr>
      <w:r w:rsidRPr="002936FE">
        <w:rPr>
          <w:rFonts w:ascii="Times New Roman" w:eastAsia="CMR12" w:hAnsi="Times New Roman" w:cs="Times New Roman"/>
          <w:b/>
          <w:bCs/>
          <w:sz w:val="24"/>
          <w:szCs w:val="24"/>
          <w14:ligatures w14:val="standardContextual"/>
        </w:rPr>
        <w:t>Using Alternative Measures</w:t>
      </w:r>
    </w:p>
    <w:p w14:paraId="14831B16" w14:textId="77777777" w:rsidR="00447869" w:rsidRPr="002936FE" w:rsidRDefault="00447869" w:rsidP="00447869">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In this subsection we consider alternative measures of union’s strength and influence. This intends to address any concern that using an indicator measurement of CB laws may miss some variation (Lott and Kenny 2013) and to connect this study to the literature using these measures to study the impact of teacher union on various outcomes.</w:t>
      </w:r>
    </w:p>
    <w:p w14:paraId="6F4F8373" w14:textId="05A8EA67" w:rsidR="00447869" w:rsidRPr="002936FE" w:rsidRDefault="00447869" w:rsidP="00447869">
      <w:pPr>
        <w:autoSpaceDE w:val="0"/>
        <w:autoSpaceDN w:val="0"/>
        <w:adjustRightInd w:val="0"/>
        <w:spacing w:line="480" w:lineRule="auto"/>
        <w:jc w:val="both"/>
        <w:rPr>
          <w:rFonts w:ascii="Times New Roman" w:eastAsia="CMR12"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Union density.</w:t>
      </w:r>
      <w:r w:rsidRPr="002936FE">
        <w:rPr>
          <w:rFonts w:ascii="Times New Roman" w:eastAsia="CMBX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As a first alternative of direct measure of union power, we use the union density of teachers. In order to calculate union density across states, we use the basic monthly Current Population Survey (CPS) data from 2009 to 2018 (Flood et al. 2020). We define the density as the number of teachers who report that they are covered by unions in a state in a year by the </w:t>
      </w:r>
      <w:r w:rsidRPr="002936FE">
        <w:rPr>
          <w:rFonts w:ascii="Times New Roman" w:eastAsia="CMR12" w:hAnsi="Times New Roman" w:cs="Times New Roman"/>
          <w:sz w:val="24"/>
          <w:szCs w:val="24"/>
          <w14:ligatures w14:val="standardContextual"/>
        </w:rPr>
        <w:lastRenderedPageBreak/>
        <w:t>total number of teachers in that state in that year. We standardize the union density to have a mean of zero and a standard deviation of one. We estimate the model of the following form:</w:t>
      </w:r>
    </w:p>
    <w:p w14:paraId="28053F7D" w14:textId="3817C74C" w:rsidR="00447869" w:rsidRPr="002936FE" w:rsidRDefault="00000000" w:rsidP="00447869">
      <w:pPr>
        <w:widowControl w:val="0"/>
        <w:autoSpaceDE w:val="0"/>
        <w:autoSpaceDN w:val="0"/>
        <w:adjustRightInd w:val="0"/>
        <w:spacing w:line="480" w:lineRule="auto"/>
        <w:ind w:left="360"/>
        <w:jc w:val="both"/>
        <w:rPr>
          <w:rFonts w:ascii="Times New Roman" w:eastAsia="CMR12" w:hAnsi="Times New Roman" w:cs="Times New Roman"/>
          <w:sz w:val="24"/>
          <w:szCs w:val="24"/>
          <w14:ligatures w14:val="standardContextual"/>
        </w:rPr>
      </w:pPr>
      <m:oMath>
        <m:func>
          <m:funcPr>
            <m:ctrlPr>
              <w:rPr>
                <w:rFonts w:ascii="Cambria Math" w:eastAsia="CMR12" w:hAnsi="Cambria Math" w:cs="Times New Roman"/>
                <w:sz w:val="24"/>
                <w:szCs w:val="24"/>
                <w14:ligatures w14:val="standardContextual"/>
              </w:rPr>
            </m:ctrlPr>
          </m:funcPr>
          <m:fName>
            <m:r>
              <w:rPr>
                <w:rFonts w:ascii="Cambria Math" w:eastAsia="CMR12" w:hAnsi="Cambria Math" w:cs="Times New Roman"/>
                <w:sz w:val="24"/>
                <w:szCs w:val="24"/>
                <w14:ligatures w14:val="standardContextual"/>
              </w:rPr>
              <m:t>ln</m:t>
            </m:r>
          </m:fName>
          <m:e>
            <m:d>
              <m:dPr>
                <m:ctrlPr>
                  <w:rPr>
                    <w:rFonts w:ascii="Cambria Math" w:eastAsia="CMR12" w:hAnsi="Cambria Math" w:cs="Times New Roman"/>
                    <w:i/>
                    <w:sz w:val="24"/>
                    <w:szCs w:val="24"/>
                    <w14:ligatures w14:val="standardContextual"/>
                  </w:rPr>
                </m:ctrlPr>
              </m:dPr>
              <m:e>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earnings</m:t>
                    </m:r>
                  </m:e>
                  <m:sub>
                    <m:r>
                      <w:rPr>
                        <w:rFonts w:ascii="Cambria Math" w:eastAsia="CMR12" w:hAnsi="Cambria Math" w:cs="Times New Roman"/>
                        <w:sz w:val="24"/>
                        <w:szCs w:val="24"/>
                        <w14:ligatures w14:val="standardContextual"/>
                      </w:rPr>
                      <m:t>icst</m:t>
                    </m:r>
                  </m:sub>
                </m:sSub>
              </m:e>
            </m:d>
          </m:e>
        </m:func>
        <m:r>
          <w:rPr>
            <w:rFonts w:ascii="Cambria Math" w:eastAsia="CMR12" w:hAnsi="Cambria Math" w:cs="Times New Roman"/>
            <w:sz w:val="24"/>
            <w:szCs w:val="24"/>
            <w14:ligatures w14:val="standardContextual"/>
          </w:rPr>
          <m:t>=α+</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1</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STEM</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2</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Union</m:t>
            </m:r>
          </m:e>
          <m:sub>
            <m:r>
              <w:rPr>
                <w:rFonts w:ascii="Cambria Math" w:eastAsia="CMR12" w:hAnsi="Cambria Math" w:cs="Times New Roman"/>
                <w:sz w:val="24"/>
                <w:szCs w:val="24"/>
                <w14:ligatures w14:val="standardContextual"/>
              </w:rPr>
              <m:t>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τ</m:t>
            </m:r>
          </m:e>
          <m:sub>
            <m:r>
              <w:rPr>
                <w:rFonts w:ascii="Cambria Math" w:eastAsia="CMR12" w:hAnsi="Cambria Math" w:cs="Times New Roman"/>
                <w:sz w:val="24"/>
                <w:szCs w:val="24"/>
                <w14:ligatures w14:val="standardContextual"/>
              </w:rPr>
              <m:t>3</m:t>
            </m:r>
          </m:sub>
        </m:sSub>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STEM</m:t>
            </m:r>
          </m:e>
          <m:sub>
            <m:r>
              <w:rPr>
                <w:rFonts w:ascii="Cambria Math" w:eastAsia="CMR12" w:hAnsi="Cambria Math" w:cs="Times New Roman"/>
                <w:sz w:val="24"/>
                <w:szCs w:val="24"/>
                <w14:ligatures w14:val="standardContextual"/>
              </w:rPr>
              <m:t>icst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Union</m:t>
            </m:r>
          </m:e>
          <m:sub>
            <m:r>
              <w:rPr>
                <w:rFonts w:ascii="Cambria Math" w:eastAsia="CMR12" w:hAnsi="Cambria Math" w:cs="Times New Roman"/>
                <w:sz w:val="24"/>
                <w:szCs w:val="24"/>
                <w14:ligatures w14:val="standardContextual"/>
              </w:rPr>
              <m:t>st</m:t>
            </m:r>
          </m:sub>
        </m:sSub>
        <m:r>
          <w:rPr>
            <w:rFonts w:ascii="Cambria Math" w:eastAsia="CMR12" w:hAnsi="Cambria Math" w:cs="Times New Roman"/>
            <w:sz w:val="24"/>
            <w:szCs w:val="24"/>
            <w14:ligatures w14:val="standardContextual"/>
          </w:rPr>
          <m:t>+</m:t>
        </m:r>
        <m:sSubSup>
          <m:sSubSupPr>
            <m:ctrlPr>
              <w:rPr>
                <w:rFonts w:ascii="Cambria Math" w:eastAsia="CMR12" w:hAnsi="Cambria Math" w:cs="Times New Roman"/>
                <w:i/>
                <w:sz w:val="24"/>
                <w:szCs w:val="24"/>
                <w14:ligatures w14:val="standardContextual"/>
              </w:rPr>
            </m:ctrlPr>
          </m:sSubSupPr>
          <m:e>
            <m:r>
              <w:rPr>
                <w:rFonts w:ascii="Cambria Math" w:eastAsia="CMR12" w:hAnsi="Cambria Math" w:cs="Times New Roman"/>
                <w:sz w:val="24"/>
                <w:szCs w:val="24"/>
                <w14:ligatures w14:val="standardContextual"/>
              </w:rPr>
              <m:t>X</m:t>
            </m:r>
          </m:e>
          <m:sub>
            <m:r>
              <w:rPr>
                <w:rFonts w:ascii="Cambria Math" w:eastAsia="CMR12" w:hAnsi="Cambria Math" w:cs="Times New Roman"/>
                <w:sz w:val="24"/>
                <w:szCs w:val="24"/>
                <w14:ligatures w14:val="standardContextual"/>
              </w:rPr>
              <m:t>icst</m:t>
            </m:r>
          </m:sub>
          <m:sup>
            <m:r>
              <w:rPr>
                <w:rFonts w:ascii="Cambria Math" w:eastAsia="CMR12" w:hAnsi="Cambria Math" w:cs="Times New Roman"/>
                <w:sz w:val="24"/>
                <w:szCs w:val="24"/>
                <w14:ligatures w14:val="standardContextual"/>
              </w:rPr>
              <m:t>'</m:t>
            </m:r>
          </m:sup>
        </m:sSubSup>
        <m:r>
          <w:rPr>
            <w:rFonts w:ascii="Cambria Math" w:eastAsia="CMR12" w:hAnsi="Cambria Math" w:cs="Times New Roman"/>
            <w:sz w:val="24"/>
            <w:szCs w:val="24"/>
            <w14:ligatures w14:val="standardContextual"/>
          </w:rPr>
          <m:t>β+</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δ</m:t>
            </m:r>
          </m:e>
          <m:sub>
            <m:r>
              <w:rPr>
                <w:rFonts w:ascii="Cambria Math" w:eastAsia="CMR12" w:hAnsi="Cambria Math" w:cs="Times New Roman"/>
                <w:sz w:val="24"/>
                <w:szCs w:val="24"/>
                <w14:ligatures w14:val="standardContextual"/>
              </w:rPr>
              <m:t>ct</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γ</m:t>
            </m:r>
          </m:e>
          <m:sub>
            <m:r>
              <w:rPr>
                <w:rFonts w:ascii="Cambria Math" w:eastAsia="CMR12" w:hAnsi="Cambria Math" w:cs="Times New Roman"/>
                <w:sz w:val="24"/>
                <w:szCs w:val="24"/>
                <w14:ligatures w14:val="standardContextual"/>
              </w:rPr>
              <m:t>s</m:t>
            </m:r>
          </m:sub>
        </m:sSub>
        <m:r>
          <w:rPr>
            <w:rFonts w:ascii="Cambria Math" w:eastAsia="CMR12" w:hAnsi="Cambria Math" w:cs="Times New Roman"/>
            <w:sz w:val="24"/>
            <w:szCs w:val="24"/>
            <w14:ligatures w14:val="standardContextual"/>
          </w:rPr>
          <m:t>+</m:t>
        </m:r>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ϵ</m:t>
            </m:r>
          </m:e>
          <m:sub>
            <m:r>
              <w:rPr>
                <w:rFonts w:ascii="Cambria Math" w:eastAsia="CMR12" w:hAnsi="Cambria Math" w:cs="Times New Roman"/>
                <w:sz w:val="24"/>
                <w:szCs w:val="24"/>
                <w14:ligatures w14:val="standardContextual"/>
              </w:rPr>
              <m:t>icst</m:t>
            </m:r>
          </m:sub>
        </m:sSub>
      </m:oMath>
      <w:r w:rsidR="002936FE" w:rsidRPr="002936FE">
        <w:rPr>
          <w:rFonts w:ascii="Times New Roman" w:eastAsia="CMR12" w:hAnsi="Times New Roman" w:cs="Times New Roman"/>
          <w:sz w:val="24"/>
          <w:szCs w:val="24"/>
          <w14:ligatures w14:val="standardContextual"/>
        </w:rPr>
        <w:t xml:space="preserve">                                                       </w:t>
      </w:r>
      <w:r w:rsidR="00447869" w:rsidRPr="002936FE">
        <w:rPr>
          <w:rFonts w:ascii="Times New Roman" w:eastAsia="CMR12" w:hAnsi="Times New Roman" w:cs="Times New Roman"/>
          <w:sz w:val="24"/>
          <w:szCs w:val="24"/>
          <w14:ligatures w14:val="standardContextual"/>
        </w:rPr>
        <w:t xml:space="preserve"> (</w:t>
      </w:r>
      <w:r w:rsidR="002936FE" w:rsidRPr="002936FE">
        <w:rPr>
          <w:rFonts w:ascii="Times New Roman" w:eastAsia="CMR12" w:hAnsi="Times New Roman" w:cs="Times New Roman"/>
          <w:sz w:val="24"/>
          <w:szCs w:val="24"/>
          <w14:ligatures w14:val="standardContextual"/>
        </w:rPr>
        <w:t>4</w:t>
      </w:r>
      <w:r w:rsidR="00447869" w:rsidRPr="002936FE">
        <w:rPr>
          <w:rFonts w:ascii="Times New Roman" w:eastAsia="CMR12" w:hAnsi="Times New Roman" w:cs="Times New Roman"/>
          <w:sz w:val="24"/>
          <w:szCs w:val="24"/>
          <w14:ligatures w14:val="standardContextual"/>
        </w:rPr>
        <w:t>)</w:t>
      </w:r>
    </w:p>
    <w:p w14:paraId="1C1B208E" w14:textId="77777777" w:rsidR="002936FE" w:rsidRPr="002936FE" w:rsidRDefault="00447869" w:rsidP="002936FE">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In this model, </w:t>
      </w:r>
      <m:oMath>
        <m:sSub>
          <m:sSubPr>
            <m:ctrlPr>
              <w:rPr>
                <w:rFonts w:ascii="Cambria Math" w:eastAsia="CMR12" w:hAnsi="Cambria Math" w:cs="Times New Roman"/>
                <w:i/>
                <w:sz w:val="24"/>
                <w:szCs w:val="24"/>
                <w14:ligatures w14:val="standardContextual"/>
              </w:rPr>
            </m:ctrlPr>
          </m:sSubPr>
          <m:e>
            <m:r>
              <w:rPr>
                <w:rFonts w:ascii="Cambria Math" w:eastAsia="CMR12" w:hAnsi="Cambria Math" w:cs="Times New Roman"/>
                <w:sz w:val="24"/>
                <w:szCs w:val="24"/>
                <w14:ligatures w14:val="standardContextual"/>
              </w:rPr>
              <m:t>Union</m:t>
            </m:r>
          </m:e>
          <m:sub>
            <m:r>
              <w:rPr>
                <w:rFonts w:ascii="Cambria Math" w:eastAsia="CMR12" w:hAnsi="Cambria Math" w:cs="Times New Roman"/>
                <w:sz w:val="24"/>
                <w:szCs w:val="24"/>
                <w14:ligatures w14:val="standardContextual"/>
              </w:rPr>
              <m:t>st</m:t>
            </m:r>
          </m:sub>
        </m:sSub>
      </m:oMath>
      <w:r w:rsidRPr="002936FE">
        <w:rPr>
          <w:rFonts w:ascii="Times New Roman" w:eastAsia="CMMI8"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represents the standardized union density in state </w:t>
      </w:r>
      <m:oMath>
        <m:r>
          <w:rPr>
            <w:rFonts w:ascii="Cambria Math" w:eastAsia="CMR12" w:hAnsi="Cambria Math" w:cs="Times New Roman"/>
            <w:sz w:val="24"/>
            <w:szCs w:val="24"/>
            <w14:ligatures w14:val="standardContextual"/>
          </w:rPr>
          <m:t>s</m:t>
        </m:r>
      </m:oMath>
      <w:r w:rsidRPr="002936FE">
        <w:rPr>
          <w:rFonts w:ascii="Times New Roman" w:eastAsia="CMMI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year </w:t>
      </w:r>
      <m:oMath>
        <m:r>
          <w:rPr>
            <w:rFonts w:ascii="Cambria Math" w:eastAsia="CMR12" w:hAnsi="Cambria Math" w:cs="Times New Roman"/>
            <w:sz w:val="24"/>
            <w:szCs w:val="24"/>
            <w14:ligatures w14:val="standardContextual"/>
          </w:rPr>
          <m:t>t</m:t>
        </m:r>
      </m:oMath>
      <w:r w:rsidRPr="002936FE">
        <w:rPr>
          <w:rFonts w:ascii="Times New Roman" w:eastAsia="CMR12" w:hAnsi="Times New Roman" w:cs="Times New Roman"/>
          <w:sz w:val="24"/>
          <w:szCs w:val="24"/>
          <w14:ligatures w14:val="standardContextual"/>
        </w:rPr>
        <w:t>. All other variables are defined as above. Columns 1-2 of Table A6 present the results. The pattern of results is broadly similar to those with the binary measure and suggest that school unionization improves STEM teachers’ earnings. Furthermore, the effect for male STEM-teachers is significant at the 10 percent level.</w:t>
      </w:r>
    </w:p>
    <w:p w14:paraId="124D0F9D" w14:textId="77777777" w:rsidR="002936FE" w:rsidRPr="002936FE" w:rsidRDefault="002936FE" w:rsidP="002936FE">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Union dues per teacher and union expenditures per student.</w:t>
      </w:r>
      <w:r w:rsidRPr="002936FE">
        <w:rPr>
          <w:rFonts w:ascii="Times New Roman" w:eastAsia="CMBX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Following Lott and Kenny (2013), we use union dues per teacher (total membership revenue divided by the number of fulltime equivalent teachers) and union expenditure per student (total union expenditure divided by student enrollment). We standardize both variables to be mean zero and standard deviation one. Higher expenditure and dues reflect the extent of financial resources that teachers’ unions mobilize towards donations to candidates running for government offices and towards lobbying for their agendas. This helps unions to be stronger. Also, applying these alternative measures of union power also yields qualitatively similar results (Column 3-6 of Table A6).</w:t>
      </w:r>
    </w:p>
    <w:p w14:paraId="709447FD" w14:textId="77777777" w:rsidR="002936FE" w:rsidRPr="002936FE" w:rsidRDefault="002936FE" w:rsidP="002936FE">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BX12" w:hAnsi="Times New Roman" w:cs="Times New Roman"/>
          <w:b/>
          <w:bCs/>
          <w:sz w:val="24"/>
          <w:szCs w:val="24"/>
          <w14:ligatures w14:val="standardContextual"/>
        </w:rPr>
        <w:t>Union index.</w:t>
      </w:r>
      <w:r w:rsidRPr="002936FE">
        <w:rPr>
          <w:rFonts w:ascii="Times New Roman" w:eastAsia="CMBX12" w:hAnsi="Times New Roman" w:cs="Times New Roman"/>
          <w:sz w:val="24"/>
          <w:szCs w:val="24"/>
          <w14:ligatures w14:val="standardContextual"/>
        </w:rPr>
        <w:t xml:space="preserve"> </w:t>
      </w:r>
      <w:r w:rsidRPr="002936FE">
        <w:rPr>
          <w:rFonts w:ascii="Times New Roman" w:eastAsia="CMR12" w:hAnsi="Times New Roman" w:cs="Times New Roman"/>
          <w:sz w:val="24"/>
          <w:szCs w:val="24"/>
          <w14:ligatures w14:val="standardContextual"/>
        </w:rPr>
        <w:t xml:space="preserve">Finally, we use a union power index created by researchers at the Fordham Institute (Winkler and </w:t>
      </w:r>
      <w:proofErr w:type="spellStart"/>
      <w:r w:rsidRPr="002936FE">
        <w:rPr>
          <w:rFonts w:ascii="Times New Roman" w:eastAsia="CMR12" w:hAnsi="Times New Roman" w:cs="Times New Roman"/>
          <w:sz w:val="24"/>
          <w:szCs w:val="24"/>
          <w14:ligatures w14:val="standardContextual"/>
        </w:rPr>
        <w:t>Zeehandelaar</w:t>
      </w:r>
      <w:proofErr w:type="spellEnd"/>
      <w:r w:rsidRPr="002936FE">
        <w:rPr>
          <w:rFonts w:ascii="Times New Roman" w:eastAsia="CMR12" w:hAnsi="Times New Roman" w:cs="Times New Roman"/>
          <w:sz w:val="24"/>
          <w:szCs w:val="24"/>
          <w14:ligatures w14:val="standardContextual"/>
        </w:rPr>
        <w:t xml:space="preserve"> 2012) as an additional alternative measure. The index derived from bargaining status, union density, and union campaigning is expected to broadly capture the strength of union power. We also normalize the index to mean zero with a standard deviation of one. Columns 7-8 of Table A6 report the results, which are consistent with our </w:t>
      </w:r>
      <w:r w:rsidRPr="002936FE">
        <w:rPr>
          <w:rFonts w:ascii="Times New Roman" w:eastAsia="CMR12" w:hAnsi="Times New Roman" w:cs="Times New Roman"/>
          <w:sz w:val="24"/>
          <w:szCs w:val="24"/>
          <w14:ligatures w14:val="standardContextual"/>
        </w:rPr>
        <w:lastRenderedPageBreak/>
        <w:t xml:space="preserve">main findings that CB rights </w:t>
      </w:r>
      <w:proofErr w:type="gramStart"/>
      <w:r w:rsidRPr="002936FE">
        <w:rPr>
          <w:rFonts w:ascii="Times New Roman" w:eastAsia="CMR12" w:hAnsi="Times New Roman" w:cs="Times New Roman"/>
          <w:sz w:val="24"/>
          <w:szCs w:val="24"/>
          <w14:ligatures w14:val="standardContextual"/>
        </w:rPr>
        <w:t>lead</w:t>
      </w:r>
      <w:proofErr w:type="gramEnd"/>
      <w:r w:rsidRPr="002936FE">
        <w:rPr>
          <w:rFonts w:ascii="Times New Roman" w:eastAsia="CMR12" w:hAnsi="Times New Roman" w:cs="Times New Roman"/>
          <w:sz w:val="24"/>
          <w:szCs w:val="24"/>
          <w14:ligatures w14:val="standardContextual"/>
        </w:rPr>
        <w:t xml:space="preserve"> to higher earnings for female STEM teachers and have a weaker effect for male STEM teachers.</w:t>
      </w:r>
    </w:p>
    <w:p w14:paraId="31FD2084" w14:textId="7D660D49" w:rsidR="002936FE" w:rsidRPr="002936FE" w:rsidRDefault="002936FE" w:rsidP="002936FE">
      <w:pPr>
        <w:pStyle w:val="ListParagraph"/>
        <w:numPr>
          <w:ilvl w:val="1"/>
          <w:numId w:val="1"/>
        </w:numPr>
        <w:autoSpaceDE w:val="0"/>
        <w:autoSpaceDN w:val="0"/>
        <w:adjustRightInd w:val="0"/>
        <w:spacing w:after="0" w:line="480" w:lineRule="auto"/>
        <w:ind w:leftChars="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b/>
          <w:bCs/>
          <w:sz w:val="24"/>
          <w:szCs w:val="24"/>
          <w14:ligatures w14:val="standardContextual"/>
        </w:rPr>
        <w:t>Using Alternative Measures</w:t>
      </w:r>
    </w:p>
    <w:p w14:paraId="43B75983" w14:textId="77777777" w:rsidR="002936FE" w:rsidRPr="002936FE" w:rsidRDefault="002936FE" w:rsidP="002936FE">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Having established the relationship between collective bargaining (CB) laws and STEM teachers’ pay, in this subsection we explore a possible mechanism behind our findings. One argument in favor of teachers’ unions is that they improve the working environment for teachers, making the teaching profession more attractive. This view raises the possibility that CB power has the potential to retain STEM teachers.</w:t>
      </w:r>
    </w:p>
    <w:p w14:paraId="74FCBAA8" w14:textId="77777777" w:rsidR="002936FE" w:rsidRPr="002936FE" w:rsidRDefault="002936FE" w:rsidP="002936FE">
      <w:pPr>
        <w:autoSpaceDE w:val="0"/>
        <w:autoSpaceDN w:val="0"/>
        <w:adjustRightInd w:val="0"/>
        <w:spacing w:after="0" w:line="480" w:lineRule="auto"/>
        <w:ind w:firstLine="80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STEM teachers’ career choices can be viewed in the framework of neoclassical models, particularly on-the-job search, which postulate that workers strive to maximize their expected lifetime utility. In that framework, a higher wage increases the opportunity cost of outside job options net of search cost (Burdett 1978). Using panel data from Texas, Hendricks (2014) shows that higher pay to teachers increases their retention. Likewise, relative non-pecuniary benefits in teaching become an important determining factor for teacher quits (Goldhaber, Gross, and Player 2011). Using data from Wisconsin, Goldhaber, Gross, and Player (2011) provide suggestive evidence that female teachers consider their future wages when making their exit decisions. Collectively, these studies suggest that CB laws improve working conditions and future earnings prospects with the unions rewarding experience, which makes leaving a teaching career for outside opportunities more costly. Therefore, we investigate whether STEM teachers in “mandatory” states have a longer duration of experience, which results in higher pay. To do so, we estimate Equation (1) by replacing the dependent variable with implied experience. Since the ACS data do not provide a direct measure of experience, we calculate a proxy for experience as the maximum of age minus years of schooling minus six and zero, i.e., experience=max </w:t>
      </w:r>
      <w:r w:rsidRPr="002936FE">
        <w:rPr>
          <w:rFonts w:ascii="Times New Roman" w:eastAsia="CMSY10" w:hAnsi="Times New Roman" w:cs="Times New Roman"/>
          <w:sz w:val="24"/>
          <w:szCs w:val="24"/>
          <w14:ligatures w14:val="standardContextual"/>
        </w:rPr>
        <w:t>{</w:t>
      </w:r>
      <w:r w:rsidRPr="002936FE">
        <w:rPr>
          <w:rFonts w:ascii="Times New Roman" w:eastAsia="CMR12" w:hAnsi="Times New Roman" w:cs="Times New Roman"/>
          <w:sz w:val="24"/>
          <w:szCs w:val="24"/>
          <w14:ligatures w14:val="standardContextual"/>
        </w:rPr>
        <w:t>0, age - years of schooling - 6</w:t>
      </w:r>
      <w:r w:rsidRPr="002936FE">
        <w:rPr>
          <w:rFonts w:ascii="Times New Roman" w:eastAsia="CMSY10" w:hAnsi="Times New Roman" w:cs="Times New Roman"/>
          <w:sz w:val="24"/>
          <w:szCs w:val="24"/>
          <w14:ligatures w14:val="standardContextual"/>
        </w:rPr>
        <w:t>}</w:t>
      </w:r>
      <w:r w:rsidRPr="002936FE">
        <w:rPr>
          <w:rFonts w:ascii="Times New Roman" w:eastAsia="CMR12" w:hAnsi="Times New Roman" w:cs="Times New Roman"/>
          <w:sz w:val="24"/>
          <w:szCs w:val="24"/>
          <w14:ligatures w14:val="standardContextual"/>
        </w:rPr>
        <w:t>.</w:t>
      </w:r>
    </w:p>
    <w:p w14:paraId="694AACF5" w14:textId="2AAA1AFB" w:rsidR="002936FE" w:rsidRPr="002936FE" w:rsidRDefault="002936FE" w:rsidP="002936FE">
      <w:pPr>
        <w:autoSpaceDE w:val="0"/>
        <w:autoSpaceDN w:val="0"/>
        <w:adjustRightInd w:val="0"/>
        <w:spacing w:after="0" w:line="480" w:lineRule="auto"/>
        <w:ind w:firstLine="80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lastRenderedPageBreak/>
        <w:t>Table 6 contains the results. We find that CB laws significantly increase female teachers’ duration of experience. Female teachers in “mandatory” CB states tend to have an additional 0.77 year of experience as compared to those in “non-mandatory” CB states. We also find a positive effect for male teachers, but the magnitude is extremely small and the estimate is imprecisely estimated. In line with both the theoretical predictions and empirical findings in the literature, our results indicate that improved working conditions arising from teachers’ unions could be more effective in retaining female STEM teachers. These findings are consistent with Han (2020), who provides evidence that teachers’ unions reduce the teacher attrition rate. We would like to emphasize that there could be other explanations why CB raises the STEM teachers’ earnings but due to the data paucity, we cannot explore additional mechanisms here. One possibility is that CB laws help female teachers, whose negotiating power and culture over salary could otherwise be weaker, to maintain competitive salaries (Biasi and Sarsons 2022). When more data are available, future research can explore different mechanisms. Related to it, one obvious extension of our analysis is linking STEM teacher pay to student achievement. Though there is substantial literature on the link between both the relative wages of teachers and experience and schooling outcomes, it is unclear whether paying higher wages to STEM teachers translates into better student outcomes.</w:t>
      </w:r>
    </w:p>
    <w:p w14:paraId="7B52CE94" w14:textId="5F658805" w:rsidR="002936FE" w:rsidRPr="002936FE" w:rsidRDefault="002936FE" w:rsidP="002936FE">
      <w:pPr>
        <w:pStyle w:val="ListParagraph"/>
        <w:widowControl w:val="0"/>
        <w:numPr>
          <w:ilvl w:val="0"/>
          <w:numId w:val="1"/>
        </w:numPr>
        <w:autoSpaceDE w:val="0"/>
        <w:autoSpaceDN w:val="0"/>
        <w:adjustRightInd w:val="0"/>
        <w:spacing w:after="0" w:line="480" w:lineRule="auto"/>
        <w:ind w:leftChars="0"/>
        <w:jc w:val="both"/>
        <w:rPr>
          <w:rFonts w:ascii="Times New Roman" w:eastAsia="CMR12" w:hAnsi="Times New Roman" w:cs="Times New Roman"/>
          <w:b/>
          <w:bCs/>
          <w:sz w:val="24"/>
          <w:szCs w:val="24"/>
          <w14:ligatures w14:val="standardContextual"/>
        </w:rPr>
      </w:pPr>
      <w:r w:rsidRPr="002936FE">
        <w:rPr>
          <w:rFonts w:ascii="Times New Roman" w:eastAsia="CMR12" w:hAnsi="Times New Roman" w:cs="Times New Roman"/>
          <w:b/>
          <w:bCs/>
          <w:sz w:val="24"/>
          <w:szCs w:val="24"/>
          <w14:ligatures w14:val="standardContextual"/>
        </w:rPr>
        <w:t>Conclusion</w:t>
      </w:r>
    </w:p>
    <w:p w14:paraId="36CEA3AB" w14:textId="77777777" w:rsidR="002936FE" w:rsidRPr="002936FE" w:rsidRDefault="002936FE" w:rsidP="002936FE">
      <w:pPr>
        <w:autoSpaceDE w:val="0"/>
        <w:autoSpaceDN w:val="0"/>
        <w:adjustRightInd w:val="0"/>
        <w:spacing w:after="0" w:line="480" w:lineRule="auto"/>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 xml:space="preserve">Over decades, teacher unionization has remained at the center of policy discussions regarding the provision of K-12 education. Due to their prominent role and scope in influencing educational policies, emerging literature has strived to provide evidence that teachers’ unions’ rent-seeking behavior has enhanced various aspects of teacher compensation, such as the return to experience and base salary. However, the literature does not offer any evidence on the potential role that unions can play in influencing the earnings of STEM teachers. </w:t>
      </w:r>
      <w:r w:rsidRPr="002936FE">
        <w:rPr>
          <w:rFonts w:ascii="Times New Roman" w:eastAsia="CMR12" w:hAnsi="Times New Roman" w:cs="Times New Roman"/>
          <w:sz w:val="24"/>
          <w:szCs w:val="24"/>
          <w14:ligatures w14:val="standardContextual"/>
        </w:rPr>
        <w:lastRenderedPageBreak/>
        <w:t>Understanding the role of unions in STEM teachers’ pay is crucial to improving educational policies. This is especially true considering that school districts find hiring teachers in STEM fields an increasingly difficult task since STEM teachers have more lucrative non-teaching options than non-STEM teachers. Further, improving STEM education is gaining prominence in policy debates.</w:t>
      </w:r>
    </w:p>
    <w:p w14:paraId="1A0E97BA" w14:textId="7D30E9EC" w:rsidR="002936FE" w:rsidRPr="002936FE" w:rsidRDefault="002936FE" w:rsidP="002936FE">
      <w:pPr>
        <w:autoSpaceDE w:val="0"/>
        <w:autoSpaceDN w:val="0"/>
        <w:adjustRightInd w:val="0"/>
        <w:spacing w:after="0" w:line="480" w:lineRule="auto"/>
        <w:ind w:firstLine="800"/>
        <w:jc w:val="both"/>
        <w:rPr>
          <w:rFonts w:ascii="Times New Roman" w:eastAsia="CMR12" w:hAnsi="Times New Roman" w:cs="Times New Roman"/>
          <w:sz w:val="24"/>
          <w:szCs w:val="24"/>
          <w14:ligatures w14:val="standardContextual"/>
        </w:rPr>
      </w:pPr>
      <w:r w:rsidRPr="002936FE">
        <w:rPr>
          <w:rFonts w:ascii="Times New Roman" w:eastAsia="CMR12" w:hAnsi="Times New Roman" w:cs="Times New Roman"/>
          <w:sz w:val="24"/>
          <w:szCs w:val="24"/>
          <w14:ligatures w14:val="standardContextual"/>
        </w:rPr>
        <w:t>In this paper, we provide the first investigation of the relationship between collective bargaining laws and STEM teachers’ pay. We document robust evidence that in states where collective bargaining is mandatory, female STEM teachers have around 7.47 percent higher earnings. Our baseline results on male STEM teachers are imprecisely estimated. In exploring a potential mechanism, we show that CB laws significantly increase the duration of experience of female STEM teachers. This suggests their potential role in retaining STEM teachers, a challenge that school districts have been experiencing. Future research constitutes investigating whether higher pay for STEM teachers translates into better student outcomes.</w:t>
      </w:r>
    </w:p>
    <w:p w14:paraId="4C7B0543" w14:textId="77777777" w:rsidR="001870D0" w:rsidRDefault="001870D0">
      <w:pPr>
        <w:jc w:val="both"/>
        <w:rPr>
          <w:rFonts w:ascii="Times New Roman" w:eastAsia="CMR12" w:hAnsi="Times New Roman" w:cs="Times New Roman"/>
          <w:sz w:val="24"/>
          <w:szCs w:val="24"/>
          <w14:ligatures w14:val="standardContextual"/>
        </w:rPr>
      </w:pPr>
      <w:r>
        <w:rPr>
          <w:rFonts w:ascii="Times New Roman" w:eastAsia="CMR12" w:hAnsi="Times New Roman" w:cs="Times New Roman"/>
          <w:sz w:val="24"/>
          <w:szCs w:val="24"/>
          <w14:ligatures w14:val="standardContextual"/>
        </w:rPr>
        <w:br w:type="page"/>
      </w:r>
    </w:p>
    <w:p w14:paraId="7A232137" w14:textId="6B6566DA" w:rsidR="002936FE" w:rsidRPr="00010080" w:rsidRDefault="002936FE" w:rsidP="002936FE">
      <w:pPr>
        <w:autoSpaceDE w:val="0"/>
        <w:autoSpaceDN w:val="0"/>
        <w:adjustRightInd w:val="0"/>
        <w:spacing w:after="0" w:line="240" w:lineRule="auto"/>
        <w:ind w:left="360" w:hanging="360"/>
        <w:jc w:val="both"/>
        <w:rPr>
          <w:rFonts w:ascii="Times New Roman" w:eastAsia="CMR12" w:hAnsi="Times New Roman" w:cs="Times New Roman"/>
          <w:b/>
          <w:bCs/>
          <w:sz w:val="24"/>
          <w:szCs w:val="24"/>
          <w14:ligatures w14:val="standardContextual"/>
        </w:rPr>
      </w:pPr>
      <w:r w:rsidRPr="00010080">
        <w:rPr>
          <w:rFonts w:ascii="Times New Roman" w:eastAsia="CMR12" w:hAnsi="Times New Roman" w:cs="Times New Roman"/>
          <w:b/>
          <w:bCs/>
          <w:sz w:val="24"/>
          <w:szCs w:val="24"/>
          <w14:ligatures w14:val="standardContextual"/>
        </w:rPr>
        <w:lastRenderedPageBreak/>
        <w:t>References</w:t>
      </w:r>
    </w:p>
    <w:p w14:paraId="2C27A41F" w14:textId="77777777" w:rsidR="002936FE" w:rsidRPr="00010080" w:rsidRDefault="002936FE"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10016610" w14:textId="6A6E711C" w:rsidR="002133F3" w:rsidRPr="00010080" w:rsidRDefault="002133F3" w:rsidP="002133F3">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Anzia, S.F., and T.M. Moe. 2014. “Collective Bargaining, Transfer Rights, and Disadvantaged Schools.” </w:t>
      </w:r>
      <w:r w:rsidRPr="00010080">
        <w:rPr>
          <w:rFonts w:ascii="Times New Roman" w:eastAsia="CMTI12" w:hAnsi="Times New Roman" w:cs="Times New Roman"/>
          <w:i/>
          <w:iCs/>
          <w:sz w:val="24"/>
          <w:szCs w:val="24"/>
          <w14:ligatures w14:val="standardContextual"/>
        </w:rPr>
        <w:t>Educational Evaluation and Policy Analysis</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36:83–111.</w:t>
      </w:r>
    </w:p>
    <w:p w14:paraId="29F625D4" w14:textId="77777777" w:rsidR="00010080" w:rsidRPr="00010080" w:rsidRDefault="00010080" w:rsidP="002133F3">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362CFE80" w14:textId="6315EF1C" w:rsidR="002936FE" w:rsidRPr="00010080" w:rsidRDefault="002133F3"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Autor, D., D. Dorn, and G. Hanson. 2019. “When Work Disappears: Manufacturing Decline and the Falling Marriage Market Value of Young Men</w:t>
      </w:r>
      <w:r w:rsidRPr="00010080">
        <w:rPr>
          <w:rFonts w:ascii="Times New Roman" w:eastAsia="CMR12" w:hAnsi="Times New Roman" w:cs="Times New Roman"/>
          <w:i/>
          <w:iCs/>
          <w:sz w:val="24"/>
          <w:szCs w:val="24"/>
          <w14:ligatures w14:val="standardContextual"/>
        </w:rPr>
        <w:t xml:space="preserve">.” </w:t>
      </w:r>
      <w:r w:rsidRPr="00010080">
        <w:rPr>
          <w:rFonts w:ascii="Times New Roman" w:eastAsia="CMTI12" w:hAnsi="Times New Roman" w:cs="Times New Roman"/>
          <w:i/>
          <w:iCs/>
          <w:sz w:val="24"/>
          <w:szCs w:val="24"/>
          <w14:ligatures w14:val="standardContextual"/>
        </w:rPr>
        <w:t>American Economic Review: Insights</w:t>
      </w:r>
      <w:r w:rsidRPr="00010080">
        <w:rPr>
          <w:rFonts w:ascii="Times New Roman" w:eastAsia="CMR12" w:hAnsi="Times New Roman" w:cs="Times New Roman"/>
          <w:sz w:val="24"/>
          <w:szCs w:val="24"/>
          <w14:ligatures w14:val="standardContextual"/>
        </w:rPr>
        <w:t xml:space="preserve"> 1:161–78.</w:t>
      </w:r>
    </w:p>
    <w:p w14:paraId="5B82EEBF" w14:textId="77777777" w:rsidR="00010080" w:rsidRPr="00010080" w:rsidRDefault="00010080"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1357325A" w14:textId="490DEC9A" w:rsidR="002936FE" w:rsidRPr="00010080" w:rsidRDefault="002936FE"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Autor, D.H., and D. Dorn. 2013. “The Growth of Low-Skill Service Jobs and the Polarization of the US Labor Market.” </w:t>
      </w:r>
      <w:r w:rsidRPr="00010080">
        <w:rPr>
          <w:rFonts w:ascii="Times New Roman" w:eastAsia="CMTI12" w:hAnsi="Times New Roman" w:cs="Times New Roman"/>
          <w:i/>
          <w:iCs/>
          <w:sz w:val="24"/>
          <w:szCs w:val="24"/>
          <w14:ligatures w14:val="standardContextual"/>
        </w:rPr>
        <w:t>American Economic Review</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103:1553–97.</w:t>
      </w:r>
    </w:p>
    <w:p w14:paraId="363ABA45" w14:textId="77777777" w:rsidR="00010080" w:rsidRPr="00010080" w:rsidRDefault="00010080"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06489E67" w14:textId="0608B93E" w:rsidR="002936FE" w:rsidRPr="00010080" w:rsidRDefault="002936FE"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Babcock, L., and J. Engberg. 1999. “Bargaining Unit Composition and the Returns to Education and Tenure.” </w:t>
      </w:r>
      <w:r w:rsidRPr="00010080">
        <w:rPr>
          <w:rFonts w:ascii="Times New Roman" w:eastAsia="CMTI12" w:hAnsi="Times New Roman" w:cs="Times New Roman"/>
          <w:i/>
          <w:iCs/>
          <w:sz w:val="24"/>
          <w:szCs w:val="24"/>
          <w14:ligatures w14:val="standardContextual"/>
        </w:rPr>
        <w:t>ILR Review</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52:163–178.</w:t>
      </w:r>
    </w:p>
    <w:p w14:paraId="17B740A4" w14:textId="77777777" w:rsidR="00010080" w:rsidRPr="00010080" w:rsidRDefault="00010080"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15BDF441" w14:textId="6C378122" w:rsidR="002936FE" w:rsidRPr="00010080" w:rsidRDefault="002936FE"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Babcock, L., and S. </w:t>
      </w:r>
      <w:proofErr w:type="spellStart"/>
      <w:r w:rsidRPr="00010080">
        <w:rPr>
          <w:rFonts w:ascii="Times New Roman" w:eastAsia="CMR12" w:hAnsi="Times New Roman" w:cs="Times New Roman"/>
          <w:sz w:val="24"/>
          <w:szCs w:val="24"/>
          <w14:ligatures w14:val="standardContextual"/>
        </w:rPr>
        <w:t>Laschever</w:t>
      </w:r>
      <w:proofErr w:type="spellEnd"/>
      <w:r w:rsidRPr="00010080">
        <w:rPr>
          <w:rFonts w:ascii="Times New Roman" w:eastAsia="CMR12" w:hAnsi="Times New Roman" w:cs="Times New Roman"/>
          <w:sz w:val="24"/>
          <w:szCs w:val="24"/>
          <w14:ligatures w14:val="standardContextual"/>
        </w:rPr>
        <w:t xml:space="preserve">. 2007. </w:t>
      </w:r>
      <w:r w:rsidRPr="00010080">
        <w:rPr>
          <w:rFonts w:ascii="Times New Roman" w:eastAsia="CMTI12" w:hAnsi="Times New Roman" w:cs="Times New Roman"/>
          <w:i/>
          <w:iCs/>
          <w:sz w:val="24"/>
          <w:szCs w:val="24"/>
          <w14:ligatures w14:val="standardContextual"/>
        </w:rPr>
        <w:t>Rising above the Gathering Storm. Washington, DC: National Academies Press</w:t>
      </w:r>
      <w:r w:rsidRPr="00010080">
        <w:rPr>
          <w:rFonts w:ascii="Times New Roman" w:eastAsia="CMR12" w:hAnsi="Times New Roman" w:cs="Times New Roman"/>
          <w:sz w:val="24"/>
          <w:szCs w:val="24"/>
          <w14:ligatures w14:val="standardContextual"/>
        </w:rPr>
        <w:t>, Princeton, NJ: Princeton University Press.</w:t>
      </w:r>
    </w:p>
    <w:p w14:paraId="2861DFFA" w14:textId="77777777" w:rsidR="00010080" w:rsidRPr="00010080" w:rsidRDefault="00010080"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20DDE435" w14:textId="4DDA3F94" w:rsidR="002936FE" w:rsidRPr="00010080" w:rsidRDefault="002936FE"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Ballou, D., and M. </w:t>
      </w:r>
      <w:proofErr w:type="spellStart"/>
      <w:r w:rsidRPr="00010080">
        <w:rPr>
          <w:rFonts w:ascii="Times New Roman" w:eastAsia="CMR12" w:hAnsi="Times New Roman" w:cs="Times New Roman"/>
          <w:sz w:val="24"/>
          <w:szCs w:val="24"/>
          <w14:ligatures w14:val="standardContextual"/>
        </w:rPr>
        <w:t>Podgursky</w:t>
      </w:r>
      <w:proofErr w:type="spellEnd"/>
      <w:r w:rsidRPr="00010080">
        <w:rPr>
          <w:rFonts w:ascii="Times New Roman" w:eastAsia="CMR12" w:hAnsi="Times New Roman" w:cs="Times New Roman"/>
          <w:sz w:val="24"/>
          <w:szCs w:val="24"/>
          <w14:ligatures w14:val="standardContextual"/>
        </w:rPr>
        <w:t xml:space="preserve">. 2002. “Returns to Seniority among Public School Teachers.” </w:t>
      </w:r>
      <w:r w:rsidRPr="00010080">
        <w:rPr>
          <w:rFonts w:ascii="Times New Roman" w:eastAsia="CMTI12" w:hAnsi="Times New Roman" w:cs="Times New Roman"/>
          <w:i/>
          <w:iCs/>
          <w:sz w:val="24"/>
          <w:szCs w:val="24"/>
          <w14:ligatures w14:val="standardContextual"/>
        </w:rPr>
        <w:t>The Journal of Human Resources</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37:892–912.</w:t>
      </w:r>
    </w:p>
    <w:p w14:paraId="48C5EEBA" w14:textId="77777777" w:rsidR="00010080" w:rsidRPr="00010080" w:rsidRDefault="00010080"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799DE3BD" w14:textId="6C6426DD" w:rsidR="002936FE" w:rsidRPr="00010080" w:rsidRDefault="002936FE"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Baugh, W.H., and J.A. Stone. 1982. “Teachers, Unions, and Wages in the 1970s: Unionism Now Pays.” </w:t>
      </w:r>
      <w:r w:rsidRPr="00010080">
        <w:rPr>
          <w:rFonts w:ascii="Times New Roman" w:eastAsia="CMTI12" w:hAnsi="Times New Roman" w:cs="Times New Roman"/>
          <w:i/>
          <w:iCs/>
          <w:sz w:val="24"/>
          <w:szCs w:val="24"/>
          <w14:ligatures w14:val="standardContextual"/>
        </w:rPr>
        <w:t>ILR Review</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35:368–376.</w:t>
      </w:r>
    </w:p>
    <w:p w14:paraId="5933EF8F" w14:textId="77777777" w:rsidR="00010080" w:rsidRPr="00010080" w:rsidRDefault="00010080" w:rsidP="002936FE">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3DD9D15C" w14:textId="68419CFF" w:rsidR="00010080" w:rsidRPr="00010080" w:rsidRDefault="002936FE"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Biasi, B., and H. Sarsons. 2022. “Flexible Wages, Bargaining, and the Gender Gap.” </w:t>
      </w:r>
      <w:r w:rsidRPr="00010080">
        <w:rPr>
          <w:rFonts w:ascii="Times New Roman" w:eastAsia="CMTI12" w:hAnsi="Times New Roman" w:cs="Times New Roman"/>
          <w:i/>
          <w:iCs/>
          <w:sz w:val="24"/>
          <w:szCs w:val="24"/>
          <w14:ligatures w14:val="standardContextual"/>
        </w:rPr>
        <w:t>The Quarterly</w:t>
      </w:r>
      <w:r w:rsidRPr="00010080">
        <w:rPr>
          <w:rFonts w:ascii="Times New Roman" w:eastAsia="CMR12" w:hAnsi="Times New Roman" w:cs="Times New Roman"/>
          <w:i/>
          <w:iCs/>
          <w:sz w:val="24"/>
          <w:szCs w:val="24"/>
          <w14:ligatures w14:val="standardContextual"/>
        </w:rPr>
        <w:t xml:space="preserve"> </w:t>
      </w:r>
      <w:r w:rsidRPr="00010080">
        <w:rPr>
          <w:rFonts w:ascii="Times New Roman" w:eastAsia="CMTI12" w:hAnsi="Times New Roman" w:cs="Times New Roman"/>
          <w:i/>
          <w:iCs/>
          <w:sz w:val="24"/>
          <w:szCs w:val="24"/>
          <w14:ligatures w14:val="standardContextual"/>
        </w:rPr>
        <w:t>Journal of Economics</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137:215–266.</w:t>
      </w:r>
    </w:p>
    <w:p w14:paraId="3830D607" w14:textId="77777777" w:rsidR="00010080" w:rsidRP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637DDAB9" w14:textId="5F16F306" w:rsidR="00010080" w:rsidRP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Bollinger, C., and B. Hirsch. 2006. “Match Bias from Earnings Imputation in the Current Population Survey: The Case of Imperfect Matching.” </w:t>
      </w:r>
      <w:r w:rsidRPr="00010080">
        <w:rPr>
          <w:rFonts w:ascii="Times New Roman" w:eastAsia="CMTI12" w:hAnsi="Times New Roman" w:cs="Times New Roman"/>
          <w:i/>
          <w:iCs/>
          <w:sz w:val="24"/>
          <w:szCs w:val="24"/>
          <w14:ligatures w14:val="standardContextual"/>
        </w:rPr>
        <w:t>Journal of Labor Economics</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24:483–519.</w:t>
      </w:r>
    </w:p>
    <w:p w14:paraId="0E76231F" w14:textId="77777777" w:rsidR="00010080" w:rsidRP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39165C9B" w14:textId="29EB6912" w:rsidR="00010080" w:rsidRP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Brueckner, J.K., and D. Neumark. 2014. “Beaches, Sunshine, and Public Sector Pay: Theory and Evidence on Amenities and Rent Extraction by Government Workers.” </w:t>
      </w:r>
      <w:r w:rsidRPr="00010080">
        <w:rPr>
          <w:rFonts w:ascii="Times New Roman" w:eastAsia="CMTI12" w:hAnsi="Times New Roman" w:cs="Times New Roman"/>
          <w:i/>
          <w:iCs/>
          <w:sz w:val="24"/>
          <w:szCs w:val="24"/>
          <w14:ligatures w14:val="standardContextual"/>
        </w:rPr>
        <w:t>American Economic</w:t>
      </w:r>
      <w:r w:rsidRPr="00010080">
        <w:rPr>
          <w:rFonts w:ascii="Times New Roman" w:eastAsia="CMR12" w:hAnsi="Times New Roman" w:cs="Times New Roman"/>
          <w:i/>
          <w:iCs/>
          <w:sz w:val="24"/>
          <w:szCs w:val="24"/>
          <w14:ligatures w14:val="standardContextual"/>
        </w:rPr>
        <w:t xml:space="preserve"> </w:t>
      </w:r>
      <w:r w:rsidRPr="00010080">
        <w:rPr>
          <w:rFonts w:ascii="Times New Roman" w:eastAsia="CMTI12" w:hAnsi="Times New Roman" w:cs="Times New Roman"/>
          <w:i/>
          <w:iCs/>
          <w:sz w:val="24"/>
          <w:szCs w:val="24"/>
          <w14:ligatures w14:val="standardContextual"/>
        </w:rPr>
        <w:t>Journal: Economic Policy</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6:198–230.</w:t>
      </w:r>
    </w:p>
    <w:p w14:paraId="472AAB4F" w14:textId="77777777" w:rsidR="00010080" w:rsidRP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411AC496" w14:textId="3AF47A18" w:rsidR="00010080" w:rsidRP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Brunner, E., J.M. Cowen, K.O. Strunk, and S. Drake. 2019. “Teacher Labor Market Responses to Statewide Reform: Evidence from Michigan.” </w:t>
      </w:r>
      <w:r w:rsidRPr="00010080">
        <w:rPr>
          <w:rFonts w:ascii="Times New Roman" w:eastAsia="CMTI12" w:hAnsi="Times New Roman" w:cs="Times New Roman"/>
          <w:i/>
          <w:iCs/>
          <w:sz w:val="24"/>
          <w:szCs w:val="24"/>
          <w14:ligatures w14:val="standardContextual"/>
        </w:rPr>
        <w:t>Educational Evaluation and Policy Analysis</w:t>
      </w:r>
      <w:r w:rsidRPr="00010080">
        <w:rPr>
          <w:rFonts w:ascii="Times New Roman" w:eastAsia="CMR12" w:hAnsi="Times New Roman" w:cs="Times New Roman"/>
          <w:sz w:val="24"/>
          <w:szCs w:val="24"/>
          <w14:ligatures w14:val="standardContextual"/>
        </w:rPr>
        <w:t xml:space="preserve"> 41:403–425.</w:t>
      </w:r>
    </w:p>
    <w:p w14:paraId="4FFCCF1F" w14:textId="77777777" w:rsidR="00010080" w:rsidRP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014E8407" w14:textId="3C2BBC7C" w:rsidR="00010080" w:rsidRP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Brunner, E.J., and A. Ju. 2019. “State Collective Bargaining Laws and Public-Sector Pay.” </w:t>
      </w:r>
      <w:r w:rsidRPr="00010080">
        <w:rPr>
          <w:rFonts w:ascii="Times New Roman" w:eastAsia="CMTI12" w:hAnsi="Times New Roman" w:cs="Times New Roman"/>
          <w:i/>
          <w:iCs/>
          <w:sz w:val="24"/>
          <w:szCs w:val="24"/>
          <w14:ligatures w14:val="standardContextual"/>
        </w:rPr>
        <w:t>ILR Review</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72:480–508.</w:t>
      </w:r>
    </w:p>
    <w:p w14:paraId="74EAC6DF" w14:textId="77777777" w:rsidR="00010080" w:rsidRP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7931D803" w14:textId="3980365E" w:rsidR="00010080" w:rsidRP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Burdett, K. 1978. “A Theory of Employee Job Search and Quit Rates.” </w:t>
      </w:r>
      <w:r w:rsidRPr="00010080">
        <w:rPr>
          <w:rFonts w:ascii="Times New Roman" w:eastAsia="CMTI12" w:hAnsi="Times New Roman" w:cs="Times New Roman"/>
          <w:i/>
          <w:iCs/>
          <w:sz w:val="24"/>
          <w:szCs w:val="24"/>
          <w14:ligatures w14:val="standardContextual"/>
        </w:rPr>
        <w:t>The American Economic Review</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68:212–220.</w:t>
      </w:r>
    </w:p>
    <w:p w14:paraId="06B28407" w14:textId="77777777" w:rsidR="00010080" w:rsidRP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787DC6B4" w14:textId="77777777" w:rsidR="00010080" w:rsidRP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Cahen, C. 2019. “Does Individualizing the Labor Contract Hurt Women?” </w:t>
      </w:r>
      <w:r w:rsidRPr="00010080">
        <w:rPr>
          <w:rFonts w:ascii="Times New Roman" w:eastAsia="CMTI12" w:hAnsi="Times New Roman" w:cs="Times New Roman"/>
          <w:i/>
          <w:iCs/>
          <w:sz w:val="24"/>
          <w:szCs w:val="24"/>
          <w14:ligatures w14:val="standardContextual"/>
        </w:rPr>
        <w:t>Industrial Relations: A Journal of Economy and Society</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58:317–375.</w:t>
      </w:r>
    </w:p>
    <w:p w14:paraId="10611F9E" w14:textId="38B238D2"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lastRenderedPageBreak/>
        <w:t xml:space="preserve">Clotfelter, C., E. Glennie, H. Ladd, and J. Vigdor. 2008. “Would Higher Salaries Keep Teachers in High-Poverty Schools? Evidence from a Policy Intervention in North Carolina.” </w:t>
      </w:r>
      <w:r w:rsidRPr="00010080">
        <w:rPr>
          <w:rFonts w:ascii="Times New Roman" w:eastAsia="CMTI12" w:hAnsi="Times New Roman" w:cs="Times New Roman"/>
          <w:i/>
          <w:iCs/>
          <w:sz w:val="24"/>
          <w:szCs w:val="24"/>
          <w14:ligatures w14:val="standardContextual"/>
        </w:rPr>
        <w:t>Journal of</w:t>
      </w:r>
      <w:r w:rsidRPr="00010080">
        <w:rPr>
          <w:rFonts w:ascii="Times New Roman" w:eastAsia="CMR12" w:hAnsi="Times New Roman" w:cs="Times New Roman"/>
          <w:i/>
          <w:iCs/>
          <w:sz w:val="24"/>
          <w:szCs w:val="24"/>
          <w14:ligatures w14:val="standardContextual"/>
        </w:rPr>
        <w:t xml:space="preserve"> </w:t>
      </w:r>
      <w:r w:rsidRPr="00010080">
        <w:rPr>
          <w:rFonts w:ascii="Times New Roman" w:eastAsia="CMTI12" w:hAnsi="Times New Roman" w:cs="Times New Roman"/>
          <w:i/>
          <w:iCs/>
          <w:sz w:val="24"/>
          <w:szCs w:val="24"/>
          <w14:ligatures w14:val="standardContextual"/>
        </w:rPr>
        <w:t>Public Economics</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92:1352–1370.</w:t>
      </w:r>
    </w:p>
    <w:p w14:paraId="283A9766" w14:textId="77777777" w:rsid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6007AC43" w14:textId="06455D42"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Cowen, J.M., and K.O. Strunk. 2015. “The Impact of Teachers’ Unions on Educational Outcomes: What We Know and What We Need to Learn.” </w:t>
      </w:r>
      <w:r w:rsidRPr="00010080">
        <w:rPr>
          <w:rFonts w:ascii="Times New Roman" w:eastAsia="CMTI12" w:hAnsi="Times New Roman" w:cs="Times New Roman"/>
          <w:i/>
          <w:iCs/>
          <w:sz w:val="24"/>
          <w:szCs w:val="24"/>
          <w14:ligatures w14:val="standardContextual"/>
        </w:rPr>
        <w:t>Economics of Education Review</w:t>
      </w:r>
      <w:r w:rsidRPr="00010080">
        <w:rPr>
          <w:rFonts w:ascii="Times New Roman" w:eastAsia="CMR12" w:hAnsi="Times New Roman" w:cs="Times New Roman"/>
          <w:sz w:val="24"/>
          <w:szCs w:val="24"/>
          <w14:ligatures w14:val="standardContextual"/>
        </w:rPr>
        <w:t xml:space="preserve"> 48:208–223.</w:t>
      </w:r>
    </w:p>
    <w:p w14:paraId="2E175FC8" w14:textId="77777777" w:rsid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617F1EE0" w14:textId="64D05808"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Dee, T.S., and D. Goldhaber. 2017. “Understanding and addressing teacher shortages in the United States.” </w:t>
      </w:r>
      <w:r w:rsidRPr="00010080">
        <w:rPr>
          <w:rFonts w:ascii="Times New Roman" w:eastAsia="CMTI12" w:hAnsi="Times New Roman" w:cs="Times New Roman"/>
          <w:i/>
          <w:iCs/>
          <w:sz w:val="24"/>
          <w:szCs w:val="24"/>
          <w14:ligatures w14:val="standardContextual"/>
        </w:rPr>
        <w:t>The Hamilton Project</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5:1–28.</w:t>
      </w:r>
    </w:p>
    <w:p w14:paraId="27CE10E3" w14:textId="77777777" w:rsidR="00010080" w:rsidRP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35FA3A3E" w14:textId="5B99249A"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Duncombe, W., and J. Yinger. 2007. “Does School District Consolidation Cut Costs?” </w:t>
      </w:r>
      <w:r w:rsidRPr="00010080">
        <w:rPr>
          <w:rFonts w:ascii="Times New Roman" w:eastAsia="CMTI12" w:hAnsi="Times New Roman" w:cs="Times New Roman"/>
          <w:i/>
          <w:iCs/>
          <w:sz w:val="24"/>
          <w:szCs w:val="24"/>
          <w14:ligatures w14:val="standardContextual"/>
        </w:rPr>
        <w:t>Education Finance and Policy</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2:341–375.</w:t>
      </w:r>
    </w:p>
    <w:p w14:paraId="1D1E1E1C" w14:textId="77777777" w:rsid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5DA899A2" w14:textId="4CB414D9"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Eberts, R.W., and J.A. Stone. 1987. “Teacher Unions and the Productivity of Public Schools.” </w:t>
      </w:r>
      <w:r w:rsidRPr="00010080">
        <w:rPr>
          <w:rFonts w:ascii="Times New Roman" w:eastAsia="CMTI12" w:hAnsi="Times New Roman" w:cs="Times New Roman"/>
          <w:i/>
          <w:iCs/>
          <w:sz w:val="24"/>
          <w:szCs w:val="24"/>
          <w14:ligatures w14:val="standardContextual"/>
        </w:rPr>
        <w:t>ILR Review</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40:354–363.</w:t>
      </w:r>
    </w:p>
    <w:p w14:paraId="339096FC" w14:textId="77777777" w:rsidR="00010080" w:rsidRP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7DEBE835" w14:textId="3990DBED"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Feng, L., and T.R. Sass. 2018. “The Impact of Incentives to Recruit and Retain Teachers in “Hard-to-Staff” Subjects.” </w:t>
      </w:r>
      <w:r w:rsidRPr="00010080">
        <w:rPr>
          <w:rFonts w:ascii="Times New Roman" w:eastAsia="CMTI12" w:hAnsi="Times New Roman" w:cs="Times New Roman"/>
          <w:i/>
          <w:iCs/>
          <w:sz w:val="24"/>
          <w:szCs w:val="24"/>
          <w14:ligatures w14:val="standardContextual"/>
        </w:rPr>
        <w:t>Journal of Policy Analysis and Management</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37:112–135.</w:t>
      </w:r>
    </w:p>
    <w:p w14:paraId="0551DFC1" w14:textId="77777777" w:rsidR="00010080" w:rsidRP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393BED01" w14:textId="31019B9F"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roofErr w:type="spellStart"/>
      <w:r w:rsidRPr="00010080">
        <w:rPr>
          <w:rFonts w:ascii="Times New Roman" w:eastAsia="CMR12" w:hAnsi="Times New Roman" w:cs="Times New Roman"/>
          <w:sz w:val="24"/>
          <w:szCs w:val="24"/>
          <w14:ligatures w14:val="standardContextual"/>
        </w:rPr>
        <w:t>Figlio</w:t>
      </w:r>
      <w:proofErr w:type="spellEnd"/>
      <w:r w:rsidRPr="00010080">
        <w:rPr>
          <w:rFonts w:ascii="Times New Roman" w:eastAsia="CMR12" w:hAnsi="Times New Roman" w:cs="Times New Roman"/>
          <w:sz w:val="24"/>
          <w:szCs w:val="24"/>
          <w14:ligatures w14:val="standardContextual"/>
        </w:rPr>
        <w:t xml:space="preserve">, D.N. 2002. “Can Public Schools Buy Better-Qualified Teachers?” </w:t>
      </w:r>
      <w:r w:rsidRPr="00010080">
        <w:rPr>
          <w:rFonts w:ascii="Times New Roman" w:eastAsia="CMTI12" w:hAnsi="Times New Roman" w:cs="Times New Roman"/>
          <w:i/>
          <w:iCs/>
          <w:sz w:val="24"/>
          <w:szCs w:val="24"/>
          <w14:ligatures w14:val="standardContextual"/>
        </w:rPr>
        <w:t>ILR Review</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55:686–699.</w:t>
      </w:r>
    </w:p>
    <w:p w14:paraId="25BBF88E" w14:textId="77777777" w:rsidR="00010080" w:rsidRP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7F35FDFF" w14:textId="32D3E14C"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Flood, S., M. King, R. Rodgers, S. Ruggles, and J.R. Warren. 2020. Working paper, Integrated Public Use Microdata Series, Current Population Survey: Version 8.0 [dataset]. Minneapolis, MN: IPUMS. </w:t>
      </w:r>
      <w:hyperlink r:id="rId8" w:history="1">
        <w:r w:rsidRPr="0016456B">
          <w:rPr>
            <w:rStyle w:val="Hyperlink"/>
            <w:rFonts w:ascii="Times New Roman" w:eastAsia="CMR12" w:hAnsi="Times New Roman" w:cs="Times New Roman"/>
            <w:sz w:val="24"/>
            <w:szCs w:val="24"/>
            <w14:ligatures w14:val="standardContextual"/>
          </w:rPr>
          <w:t>https://doi.org/10.18128/D030.V8.0</w:t>
        </w:r>
      </w:hyperlink>
      <w:r w:rsidRPr="00010080">
        <w:rPr>
          <w:rFonts w:ascii="Times New Roman" w:eastAsia="CMR12" w:hAnsi="Times New Roman" w:cs="Times New Roman"/>
          <w:sz w:val="24"/>
          <w:szCs w:val="24"/>
          <w14:ligatures w14:val="standardContextual"/>
        </w:rPr>
        <w:t>.</w:t>
      </w:r>
    </w:p>
    <w:p w14:paraId="0576DF54" w14:textId="77777777" w:rsid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3A836C38" w14:textId="01177DDD"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Frandsen, B.R. 2016. “The Effects of Collective Bargaining Rights on Public Employee Compensation: Evidence from Teachers, Firefighters, and Police.” </w:t>
      </w:r>
      <w:r w:rsidRPr="00010080">
        <w:rPr>
          <w:rFonts w:ascii="Times New Roman" w:eastAsia="CMTI12" w:hAnsi="Times New Roman" w:cs="Times New Roman"/>
          <w:i/>
          <w:iCs/>
          <w:sz w:val="24"/>
          <w:szCs w:val="24"/>
          <w14:ligatures w14:val="standardContextual"/>
        </w:rPr>
        <w:t>ILR Review</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69:84–112.</w:t>
      </w:r>
    </w:p>
    <w:p w14:paraId="7D4425ED" w14:textId="77777777" w:rsid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7F1076C3" w14:textId="4A890749"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Freeman, R.B., and E. Han. 2012. “The War Against Public Sector Collective Bargaining in the US.” </w:t>
      </w:r>
      <w:r w:rsidRPr="00010080">
        <w:rPr>
          <w:rFonts w:ascii="Times New Roman" w:eastAsia="CMTI12" w:hAnsi="Times New Roman" w:cs="Times New Roman"/>
          <w:i/>
          <w:iCs/>
          <w:sz w:val="24"/>
          <w:szCs w:val="24"/>
          <w14:ligatures w14:val="standardContextual"/>
        </w:rPr>
        <w:t>Journal of Industrial Relations</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54:386–408.</w:t>
      </w:r>
    </w:p>
    <w:p w14:paraId="05E94EFE" w14:textId="77777777" w:rsidR="00010080" w:rsidRP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55589362" w14:textId="62882716"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Freeman, R.B., and R. Valletta. 1988. </w:t>
      </w:r>
      <w:r w:rsidRPr="00010080">
        <w:rPr>
          <w:rFonts w:ascii="Times New Roman" w:eastAsia="CMTI12" w:hAnsi="Times New Roman" w:cs="Times New Roman"/>
          <w:i/>
          <w:iCs/>
          <w:sz w:val="24"/>
          <w:szCs w:val="24"/>
          <w14:ligatures w14:val="standardContextual"/>
        </w:rPr>
        <w:t>The Effects of Public Sector Labor Laws on Labor Market Institutions and Outcomes</w:t>
      </w:r>
      <w:r w:rsidRPr="00010080">
        <w:rPr>
          <w:rFonts w:ascii="Times New Roman" w:eastAsia="CMR12" w:hAnsi="Times New Roman" w:cs="Times New Roman"/>
          <w:sz w:val="24"/>
          <w:szCs w:val="24"/>
          <w14:ligatures w14:val="standardContextual"/>
        </w:rPr>
        <w:t>, University of Chicago Press. pp. 81–106.</w:t>
      </w:r>
    </w:p>
    <w:p w14:paraId="1C505568" w14:textId="77777777" w:rsidR="00010080" w:rsidRP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7937E4C3" w14:textId="50E92529"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Garcia, E., E.S. Han, and E. Weiss. 2022. “Determinants of teacher attrition: Evidence from district-teacher matched data.” </w:t>
      </w:r>
      <w:r w:rsidRPr="00010080">
        <w:rPr>
          <w:rFonts w:ascii="Times New Roman" w:eastAsia="CMTI12" w:hAnsi="Times New Roman" w:cs="Times New Roman"/>
          <w:i/>
          <w:iCs/>
          <w:sz w:val="24"/>
          <w:szCs w:val="24"/>
          <w14:ligatures w14:val="standardContextual"/>
        </w:rPr>
        <w:t>Education Policy Analysis Archives</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30:25.</w:t>
      </w:r>
    </w:p>
    <w:p w14:paraId="1B438072" w14:textId="77777777" w:rsidR="00010080" w:rsidRP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11289908" w14:textId="7EDB1ADE"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Goldhaber, D., B. Gross, and D. Player. 2011. “Teacher Career Paths, Teacher Quality, and Persistence in the Classroom: Are Public Schools Keeping Their Best?” </w:t>
      </w:r>
      <w:r w:rsidRPr="00010080">
        <w:rPr>
          <w:rFonts w:ascii="Times New Roman" w:eastAsia="CMTI12" w:hAnsi="Times New Roman" w:cs="Times New Roman"/>
          <w:i/>
          <w:iCs/>
          <w:sz w:val="24"/>
          <w:szCs w:val="24"/>
          <w14:ligatures w14:val="standardContextual"/>
        </w:rPr>
        <w:t>Journal of Policy</w:t>
      </w:r>
      <w:r w:rsidRPr="00010080">
        <w:rPr>
          <w:rFonts w:ascii="Times New Roman" w:eastAsia="CMR12" w:hAnsi="Times New Roman" w:cs="Times New Roman"/>
          <w:i/>
          <w:iCs/>
          <w:sz w:val="24"/>
          <w:szCs w:val="24"/>
          <w14:ligatures w14:val="standardContextual"/>
        </w:rPr>
        <w:t xml:space="preserve"> </w:t>
      </w:r>
      <w:r w:rsidRPr="00010080">
        <w:rPr>
          <w:rFonts w:ascii="Times New Roman" w:eastAsia="CMTI12" w:hAnsi="Times New Roman" w:cs="Times New Roman"/>
          <w:i/>
          <w:iCs/>
          <w:sz w:val="24"/>
          <w:szCs w:val="24"/>
          <w14:ligatures w14:val="standardContextual"/>
        </w:rPr>
        <w:t>Analysis and Management</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30:57–87.</w:t>
      </w:r>
    </w:p>
    <w:p w14:paraId="36A2C1CB" w14:textId="77777777" w:rsid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5529286A" w14:textId="27004818"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Goldhaber, D., L. Lavery, and R. Theobald. 2014. “My End of the Bargain.” </w:t>
      </w:r>
      <w:r w:rsidRPr="00010080">
        <w:rPr>
          <w:rFonts w:ascii="Times New Roman" w:eastAsia="CMTI12" w:hAnsi="Times New Roman" w:cs="Times New Roman"/>
          <w:i/>
          <w:iCs/>
          <w:sz w:val="24"/>
          <w:szCs w:val="24"/>
          <w14:ligatures w14:val="standardContextual"/>
        </w:rPr>
        <w:t>ILR Review</w:t>
      </w:r>
      <w:r w:rsidRPr="00010080">
        <w:rPr>
          <w:rFonts w:ascii="Times New Roman" w:eastAsia="CMR12" w:hAnsi="Times New Roman" w:cs="Times New Roman"/>
          <w:sz w:val="24"/>
          <w:szCs w:val="24"/>
          <w14:ligatures w14:val="standardContextual"/>
        </w:rPr>
        <w:t xml:space="preserve"> 67:1274–1305.</w:t>
      </w:r>
    </w:p>
    <w:p w14:paraId="50DA9589" w14:textId="77777777" w:rsid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79CB231E" w14:textId="3FA6E922"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lastRenderedPageBreak/>
        <w:t xml:space="preserve">Grissom, J.A., and K.O. Strunk. 2012. “How Should School Districts Shape Teacher Salary Schedules? Linking School Performance to Pay Structure in Traditional Compensation Schemes.” </w:t>
      </w:r>
      <w:r w:rsidRPr="00010080">
        <w:rPr>
          <w:rFonts w:ascii="Times New Roman" w:eastAsia="CMTI12" w:hAnsi="Times New Roman" w:cs="Times New Roman"/>
          <w:i/>
          <w:iCs/>
          <w:sz w:val="24"/>
          <w:szCs w:val="24"/>
          <w14:ligatures w14:val="standardContextual"/>
        </w:rPr>
        <w:t>Educational Policy</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26:663–695.</w:t>
      </w:r>
    </w:p>
    <w:p w14:paraId="014A8AD5" w14:textId="77777777" w:rsidR="00010080" w:rsidRP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4F4ACB6B" w14:textId="2EC4614C" w:rsidR="00010080" w:rsidRDefault="00010080" w:rsidP="00010080">
      <w:pPr>
        <w:autoSpaceDE w:val="0"/>
        <w:autoSpaceDN w:val="0"/>
        <w:adjustRightInd w:val="0"/>
        <w:spacing w:after="0" w:line="240" w:lineRule="auto"/>
        <w:ind w:left="360" w:hanging="360"/>
        <w:jc w:val="both"/>
        <w:rPr>
          <w:rFonts w:ascii="CMR12" w:eastAsia="CMR12" w:cs="CMR12"/>
          <w:sz w:val="24"/>
          <w:szCs w:val="24"/>
          <w14:ligatures w14:val="standardContextual"/>
        </w:rPr>
      </w:pPr>
      <w:r w:rsidRPr="00010080">
        <w:rPr>
          <w:rFonts w:ascii="Times New Roman" w:eastAsia="CMR12" w:hAnsi="Times New Roman" w:cs="Times New Roman"/>
          <w:sz w:val="24"/>
          <w:szCs w:val="24"/>
          <w14:ligatures w14:val="standardContextual"/>
        </w:rPr>
        <w:t xml:space="preserve">Han, D., and H. Hur. 2022. “Managing Turnover of STEM Teacher Workforce.” </w:t>
      </w:r>
      <w:r w:rsidRPr="00010080">
        <w:rPr>
          <w:rFonts w:ascii="Times New Roman" w:eastAsia="CMTI12" w:hAnsi="Times New Roman" w:cs="Times New Roman"/>
          <w:i/>
          <w:iCs/>
          <w:sz w:val="24"/>
          <w:szCs w:val="24"/>
          <w14:ligatures w14:val="standardContextual"/>
        </w:rPr>
        <w:t>Education and</w:t>
      </w:r>
      <w:r w:rsidRPr="00010080">
        <w:rPr>
          <w:rFonts w:ascii="Times New Roman" w:eastAsia="CMR12" w:hAnsi="Times New Roman" w:cs="Times New Roman"/>
          <w:i/>
          <w:iCs/>
          <w:sz w:val="24"/>
          <w:szCs w:val="24"/>
          <w14:ligatures w14:val="standardContextual"/>
        </w:rPr>
        <w:t xml:space="preserve"> </w:t>
      </w:r>
      <w:r w:rsidRPr="00010080">
        <w:rPr>
          <w:rFonts w:ascii="Times New Roman" w:eastAsia="CMTI12" w:hAnsi="Times New Roman" w:cs="Times New Roman"/>
          <w:i/>
          <w:iCs/>
          <w:sz w:val="24"/>
          <w:szCs w:val="24"/>
          <w14:ligatures w14:val="standardContextual"/>
        </w:rPr>
        <w:t>Urban Society</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54:205–222</w:t>
      </w:r>
      <w:r>
        <w:rPr>
          <w:rFonts w:ascii="CMR12" w:eastAsia="CMR12" w:cs="CMR12"/>
          <w:sz w:val="24"/>
          <w:szCs w:val="24"/>
          <w14:ligatures w14:val="standardContextual"/>
        </w:rPr>
        <w:t>.</w:t>
      </w:r>
    </w:p>
    <w:p w14:paraId="3ED57E32" w14:textId="77777777" w:rsidR="00010080" w:rsidRDefault="00010080" w:rsidP="00010080">
      <w:pPr>
        <w:autoSpaceDE w:val="0"/>
        <w:autoSpaceDN w:val="0"/>
        <w:adjustRightInd w:val="0"/>
        <w:spacing w:after="0" w:line="240" w:lineRule="auto"/>
        <w:jc w:val="both"/>
        <w:rPr>
          <w:rFonts w:ascii="CMR12" w:eastAsia="CMR12" w:cs="CMR12"/>
          <w:sz w:val="24"/>
          <w:szCs w:val="24"/>
          <w14:ligatures w14:val="standardContextual"/>
        </w:rPr>
      </w:pPr>
    </w:p>
    <w:p w14:paraId="2FFFA9C9" w14:textId="1F5718FC" w:rsidR="00010080"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010080">
        <w:rPr>
          <w:rFonts w:ascii="Times New Roman" w:eastAsia="CMR12" w:hAnsi="Times New Roman" w:cs="Times New Roman"/>
          <w:sz w:val="24"/>
          <w:szCs w:val="24"/>
          <w14:ligatures w14:val="standardContextual"/>
        </w:rPr>
        <w:t xml:space="preserve">Han, E.S. 2020. “The Effects of Teachers’ Unions on the Gender Pay Gap among U.S. Public School Teachers.” </w:t>
      </w:r>
      <w:r w:rsidRPr="00010080">
        <w:rPr>
          <w:rFonts w:ascii="Times New Roman" w:eastAsia="CMTI12" w:hAnsi="Times New Roman" w:cs="Times New Roman"/>
          <w:i/>
          <w:iCs/>
          <w:sz w:val="24"/>
          <w:szCs w:val="24"/>
          <w14:ligatures w14:val="standardContextual"/>
        </w:rPr>
        <w:t>Industrial Relations: A Journal of Economy and Society</w:t>
      </w:r>
      <w:r w:rsidRPr="00010080">
        <w:rPr>
          <w:rFonts w:ascii="Times New Roman" w:eastAsia="CMTI12" w:hAnsi="Times New Roman" w:cs="Times New Roman"/>
          <w:sz w:val="24"/>
          <w:szCs w:val="24"/>
          <w14:ligatures w14:val="standardContextual"/>
        </w:rPr>
        <w:t xml:space="preserve"> </w:t>
      </w:r>
      <w:r w:rsidRPr="00010080">
        <w:rPr>
          <w:rFonts w:ascii="Times New Roman" w:eastAsia="CMR12" w:hAnsi="Times New Roman" w:cs="Times New Roman"/>
          <w:sz w:val="24"/>
          <w:szCs w:val="24"/>
          <w14:ligatures w14:val="standardContextual"/>
        </w:rPr>
        <w:t>59:563–603.</w:t>
      </w:r>
    </w:p>
    <w:p w14:paraId="6B6646B3" w14:textId="77777777" w:rsidR="00010080" w:rsidRPr="004865F9"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4E0038A1" w14:textId="4DB321FC" w:rsidR="00010080" w:rsidRPr="004865F9"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 2023. “The Gendered Effects of Teachers’ Unions on Teacher Attrition: Evidence from District–Teacher Matched Data in the US.” </w:t>
      </w:r>
      <w:r w:rsidRPr="004865F9">
        <w:rPr>
          <w:rFonts w:ascii="Times New Roman" w:eastAsia="CMTI12" w:hAnsi="Times New Roman" w:cs="Times New Roman"/>
          <w:i/>
          <w:iCs/>
          <w:sz w:val="24"/>
          <w:szCs w:val="24"/>
          <w14:ligatures w14:val="standardContextual"/>
        </w:rPr>
        <w:t>Feminist Economics</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29:141–173.</w:t>
      </w:r>
    </w:p>
    <w:p w14:paraId="6C2B9C2F" w14:textId="77777777" w:rsidR="00010080" w:rsidRPr="004865F9"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2B2C816D" w14:textId="656E0624" w:rsidR="00010080" w:rsidRPr="004865F9" w:rsidRDefault="00010080" w:rsidP="00010080">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 2019. “The Impact of Teachers Unions on Teachers’ Well-Being Under Various Legal Institutions: Evidence </w:t>
      </w:r>
      <w:proofErr w:type="gramStart"/>
      <w:r w:rsidRPr="004865F9">
        <w:rPr>
          <w:rFonts w:ascii="Times New Roman" w:eastAsia="CMR12" w:hAnsi="Times New Roman" w:cs="Times New Roman"/>
          <w:sz w:val="24"/>
          <w:szCs w:val="24"/>
          <w14:ligatures w14:val="standardContextual"/>
        </w:rPr>
        <w:t>From</w:t>
      </w:r>
      <w:proofErr w:type="gramEnd"/>
      <w:r w:rsidRPr="004865F9">
        <w:rPr>
          <w:rFonts w:ascii="Times New Roman" w:eastAsia="CMR12" w:hAnsi="Times New Roman" w:cs="Times New Roman"/>
          <w:sz w:val="24"/>
          <w:szCs w:val="24"/>
          <w14:ligatures w14:val="standardContextual"/>
        </w:rPr>
        <w:t xml:space="preserve"> District–Teacher Matched Data.” </w:t>
      </w:r>
      <w:r w:rsidRPr="004865F9">
        <w:rPr>
          <w:rFonts w:ascii="Times New Roman" w:eastAsia="CMTI12" w:hAnsi="Times New Roman" w:cs="Times New Roman"/>
          <w:i/>
          <w:iCs/>
          <w:sz w:val="24"/>
          <w:szCs w:val="24"/>
          <w14:ligatures w14:val="standardContextual"/>
        </w:rPr>
        <w:t>AERA Open</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5.</w:t>
      </w:r>
    </w:p>
    <w:p w14:paraId="48EE8139" w14:textId="77777777" w:rsidR="00010080" w:rsidRPr="004865F9" w:rsidRDefault="00010080"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42ADB6A8" w14:textId="7045C8AB" w:rsidR="004865F9" w:rsidRDefault="00010080" w:rsidP="004865F9">
      <w:pPr>
        <w:autoSpaceDE w:val="0"/>
        <w:autoSpaceDN w:val="0"/>
        <w:adjustRightInd w:val="0"/>
        <w:spacing w:after="0" w:line="240" w:lineRule="auto"/>
        <w:ind w:left="360" w:hanging="360"/>
        <w:jc w:val="both"/>
        <w:rPr>
          <w:rFonts w:ascii="Times New Roman" w:eastAsia="CMTI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Hansen, M., G. Breazeale, and M. Blankenship. 2019. “STEM teachers are most in need of additional pay.” </w:t>
      </w:r>
      <w:r w:rsidRPr="004865F9">
        <w:rPr>
          <w:rFonts w:ascii="Times New Roman" w:eastAsia="CMTI12" w:hAnsi="Times New Roman" w:cs="Times New Roman"/>
          <w:sz w:val="24"/>
          <w:szCs w:val="24"/>
          <w14:ligatures w14:val="standardContextual"/>
        </w:rPr>
        <w:t>Brookings</w:t>
      </w:r>
    </w:p>
    <w:p w14:paraId="40302F73"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63FF187B" w14:textId="139914D7" w:rsidR="004865F9" w:rsidRPr="004865F9" w:rsidRDefault="00010080"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Hartney, M., and P. Flavin. 2011. “From the Schoolhouse to the Statehouse: Teacher Union Political Activism and U.S. State Education Reform Policy.” </w:t>
      </w:r>
      <w:r w:rsidRPr="004865F9">
        <w:rPr>
          <w:rFonts w:ascii="Times New Roman" w:eastAsia="CMTI12" w:hAnsi="Times New Roman" w:cs="Times New Roman"/>
          <w:i/>
          <w:iCs/>
          <w:sz w:val="24"/>
          <w:szCs w:val="24"/>
          <w14:ligatures w14:val="standardContextual"/>
        </w:rPr>
        <w:t>State Politics &amp; Policy Quarterly</w:t>
      </w:r>
      <w:r w:rsidRPr="004865F9">
        <w:rPr>
          <w:rFonts w:ascii="Times New Roman" w:eastAsia="CMR12" w:hAnsi="Times New Roman" w:cs="Times New Roman"/>
          <w:sz w:val="24"/>
          <w:szCs w:val="24"/>
          <w14:ligatures w14:val="standardContextual"/>
        </w:rPr>
        <w:t xml:space="preserve"> 11:251–268. </w:t>
      </w:r>
    </w:p>
    <w:p w14:paraId="72C12936"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3B9BA592" w14:textId="4A65896B" w:rsidR="004865F9" w:rsidRPr="004865F9" w:rsidRDefault="00010080"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Hendricks, M.D. 2014. “Does It Pay to Pay Teachers More? Evidence from Texas.” </w:t>
      </w:r>
      <w:r w:rsidRPr="004865F9">
        <w:rPr>
          <w:rFonts w:ascii="Times New Roman" w:eastAsia="CMTI12" w:hAnsi="Times New Roman" w:cs="Times New Roman"/>
          <w:i/>
          <w:iCs/>
          <w:sz w:val="24"/>
          <w:szCs w:val="24"/>
          <w14:ligatures w14:val="standardContextual"/>
        </w:rPr>
        <w:t>Journal of</w:t>
      </w:r>
      <w:r w:rsidR="004865F9" w:rsidRPr="004865F9">
        <w:rPr>
          <w:rFonts w:ascii="Times New Roman" w:eastAsia="CMR12" w:hAnsi="Times New Roman" w:cs="Times New Roman"/>
          <w:i/>
          <w:iCs/>
          <w:sz w:val="24"/>
          <w:szCs w:val="24"/>
          <w14:ligatures w14:val="standardContextual"/>
        </w:rPr>
        <w:t xml:space="preserve"> </w:t>
      </w:r>
      <w:r w:rsidRPr="004865F9">
        <w:rPr>
          <w:rFonts w:ascii="Times New Roman" w:eastAsia="CMTI12" w:hAnsi="Times New Roman" w:cs="Times New Roman"/>
          <w:i/>
          <w:iCs/>
          <w:sz w:val="24"/>
          <w:szCs w:val="24"/>
          <w14:ligatures w14:val="standardContextual"/>
        </w:rPr>
        <w:t>Public Economics</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109:50–63.</w:t>
      </w:r>
    </w:p>
    <w:p w14:paraId="3455A11E"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2DB0B4BC" w14:textId="5412CE2B" w:rsidR="004865F9" w:rsidRPr="004865F9" w:rsidRDefault="00010080"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Hoxby, C. 1996. “How Teachers’ Unions Affect Education Production.” </w:t>
      </w:r>
      <w:r w:rsidRPr="004865F9">
        <w:rPr>
          <w:rFonts w:ascii="Times New Roman" w:eastAsia="CMTI12" w:hAnsi="Times New Roman" w:cs="Times New Roman"/>
          <w:i/>
          <w:iCs/>
          <w:sz w:val="24"/>
          <w:szCs w:val="24"/>
          <w14:ligatures w14:val="standardContextual"/>
        </w:rPr>
        <w:t>The Quarterly Journal</w:t>
      </w:r>
      <w:r w:rsidR="004865F9" w:rsidRPr="004865F9">
        <w:rPr>
          <w:rFonts w:ascii="Times New Roman" w:eastAsia="CMR12" w:hAnsi="Times New Roman" w:cs="Times New Roman"/>
          <w:i/>
          <w:iCs/>
          <w:sz w:val="24"/>
          <w:szCs w:val="24"/>
          <w14:ligatures w14:val="standardContextual"/>
        </w:rPr>
        <w:t xml:space="preserve"> </w:t>
      </w:r>
      <w:r w:rsidRPr="004865F9">
        <w:rPr>
          <w:rFonts w:ascii="Times New Roman" w:eastAsia="CMTI12" w:hAnsi="Times New Roman" w:cs="Times New Roman"/>
          <w:i/>
          <w:iCs/>
          <w:sz w:val="24"/>
          <w:szCs w:val="24"/>
          <w14:ligatures w14:val="standardContextual"/>
        </w:rPr>
        <w:t>of Economics</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111:671–718.</w:t>
      </w:r>
      <w:r w:rsidR="004865F9" w:rsidRPr="004865F9">
        <w:rPr>
          <w:rFonts w:ascii="Times New Roman" w:eastAsia="CMR12" w:hAnsi="Times New Roman" w:cs="Times New Roman"/>
          <w:sz w:val="24"/>
          <w:szCs w:val="24"/>
          <w14:ligatures w14:val="standardContextual"/>
        </w:rPr>
        <w:t xml:space="preserve"> </w:t>
      </w:r>
    </w:p>
    <w:p w14:paraId="707C3264"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538CD069" w14:textId="39F09C02" w:rsidR="004865F9" w:rsidRPr="004865F9" w:rsidRDefault="00010080"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Ingersoll, R.M., and H. May. 2012. “The Magnitude, Destinations, and Determinants of Mathematics</w:t>
      </w:r>
      <w:r w:rsidR="004865F9" w:rsidRPr="004865F9">
        <w:rPr>
          <w:rFonts w:ascii="Times New Roman" w:eastAsia="CMR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 xml:space="preserve">and Science Teacher Turnover.” </w:t>
      </w:r>
      <w:r w:rsidRPr="004865F9">
        <w:rPr>
          <w:rFonts w:ascii="Times New Roman" w:eastAsia="CMTI12" w:hAnsi="Times New Roman" w:cs="Times New Roman"/>
          <w:i/>
          <w:iCs/>
          <w:sz w:val="24"/>
          <w:szCs w:val="24"/>
          <w14:ligatures w14:val="standardContextual"/>
        </w:rPr>
        <w:t>Educational Evaluation and Policy Analysis</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34:435–464.</w:t>
      </w:r>
    </w:p>
    <w:p w14:paraId="5E9DD9C2"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0D5C01C8" w14:textId="68B7C9EE"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Ingersoll, R.M., and D. </w:t>
      </w:r>
      <w:proofErr w:type="spellStart"/>
      <w:r w:rsidRPr="004865F9">
        <w:rPr>
          <w:rFonts w:ascii="Times New Roman" w:eastAsia="CMR12" w:hAnsi="Times New Roman" w:cs="Times New Roman"/>
          <w:sz w:val="24"/>
          <w:szCs w:val="24"/>
          <w14:ligatures w14:val="standardContextual"/>
        </w:rPr>
        <w:t>Perda</w:t>
      </w:r>
      <w:proofErr w:type="spellEnd"/>
      <w:r w:rsidRPr="004865F9">
        <w:rPr>
          <w:rFonts w:ascii="Times New Roman" w:eastAsia="CMR12" w:hAnsi="Times New Roman" w:cs="Times New Roman"/>
          <w:sz w:val="24"/>
          <w:szCs w:val="24"/>
          <w14:ligatures w14:val="standardContextual"/>
        </w:rPr>
        <w:t xml:space="preserve">. 2010. “Is the Supply of Mathematics and Science Teachers Sufficient?” </w:t>
      </w:r>
      <w:r w:rsidRPr="004865F9">
        <w:rPr>
          <w:rFonts w:ascii="Times New Roman" w:eastAsia="CMTI12" w:hAnsi="Times New Roman" w:cs="Times New Roman"/>
          <w:i/>
          <w:iCs/>
          <w:sz w:val="24"/>
          <w:szCs w:val="24"/>
          <w14:ligatures w14:val="standardContextual"/>
        </w:rPr>
        <w:t>American Educational Research Journal</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47:563–594.</w:t>
      </w:r>
    </w:p>
    <w:p w14:paraId="6DCAA339"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26C89569" w14:textId="7B305420"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Johnson, S.M., J.H. Berg, and M.L. Donaldson. 2005. “Who stays in teaching and why? A review of the literature on teacher retention.” Working paper, Project on the Next Generation of Teachers, Harvard Graduate School of Education.</w:t>
      </w:r>
    </w:p>
    <w:p w14:paraId="0818597F"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357748E1" w14:textId="1B9CE55E" w:rsid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Lott, J., and L.W. Kenny. 2013. “State teacher union strength and student achievement.” </w:t>
      </w:r>
      <w:r w:rsidRPr="004865F9">
        <w:rPr>
          <w:rFonts w:ascii="Times New Roman" w:eastAsia="CMTI12" w:hAnsi="Times New Roman" w:cs="Times New Roman"/>
          <w:i/>
          <w:iCs/>
          <w:sz w:val="24"/>
          <w:szCs w:val="24"/>
          <w14:ligatures w14:val="standardContextual"/>
        </w:rPr>
        <w:t>Economics</w:t>
      </w:r>
      <w:r w:rsidRPr="004865F9">
        <w:rPr>
          <w:rFonts w:ascii="Times New Roman" w:eastAsia="CMR12" w:hAnsi="Times New Roman" w:cs="Times New Roman"/>
          <w:i/>
          <w:iCs/>
          <w:sz w:val="24"/>
          <w:szCs w:val="24"/>
          <w14:ligatures w14:val="standardContextual"/>
        </w:rPr>
        <w:t xml:space="preserve"> </w:t>
      </w:r>
      <w:r w:rsidRPr="004865F9">
        <w:rPr>
          <w:rFonts w:ascii="Times New Roman" w:eastAsia="CMTI12" w:hAnsi="Times New Roman" w:cs="Times New Roman"/>
          <w:i/>
          <w:iCs/>
          <w:sz w:val="24"/>
          <w:szCs w:val="24"/>
          <w14:ligatures w14:val="standardContextual"/>
        </w:rPr>
        <w:t>of Education Review</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35:93–103.</w:t>
      </w:r>
    </w:p>
    <w:p w14:paraId="6D180436"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73A9ED33" w14:textId="77777777"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roofErr w:type="spellStart"/>
      <w:r w:rsidRPr="004865F9">
        <w:rPr>
          <w:rFonts w:ascii="Times New Roman" w:eastAsia="CMR12" w:hAnsi="Times New Roman" w:cs="Times New Roman"/>
          <w:sz w:val="24"/>
          <w:szCs w:val="24"/>
          <w14:ligatures w14:val="standardContextual"/>
        </w:rPr>
        <w:t>Lovenheim</w:t>
      </w:r>
      <w:proofErr w:type="spellEnd"/>
      <w:r w:rsidRPr="004865F9">
        <w:rPr>
          <w:rFonts w:ascii="Times New Roman" w:eastAsia="CMR12" w:hAnsi="Times New Roman" w:cs="Times New Roman"/>
          <w:sz w:val="24"/>
          <w:szCs w:val="24"/>
          <w14:ligatures w14:val="standardContextual"/>
        </w:rPr>
        <w:t xml:space="preserve">, M. 2009. “The Effect of Teachers’ Unions on Education Production: Evidence from Union Election Certifications in Three Midwestern States.” </w:t>
      </w:r>
      <w:r w:rsidRPr="004865F9">
        <w:rPr>
          <w:rFonts w:ascii="Times New Roman" w:eastAsia="CMTI12" w:hAnsi="Times New Roman" w:cs="Times New Roman"/>
          <w:i/>
          <w:iCs/>
          <w:sz w:val="24"/>
          <w:szCs w:val="24"/>
          <w14:ligatures w14:val="standardContextual"/>
        </w:rPr>
        <w:t>Journal of Labor</w:t>
      </w:r>
      <w:r w:rsidRPr="004865F9">
        <w:rPr>
          <w:rFonts w:ascii="Times New Roman" w:eastAsia="CMTI12" w:hAnsi="Times New Roman" w:cs="Times New Roman"/>
          <w:sz w:val="24"/>
          <w:szCs w:val="24"/>
          <w14:ligatures w14:val="standardContextual"/>
        </w:rPr>
        <w:t xml:space="preserve"> </w:t>
      </w:r>
      <w:r w:rsidRPr="004865F9">
        <w:rPr>
          <w:rFonts w:ascii="Times New Roman" w:eastAsia="CMTI12" w:hAnsi="Times New Roman" w:cs="Times New Roman"/>
          <w:i/>
          <w:iCs/>
          <w:sz w:val="24"/>
          <w:szCs w:val="24"/>
          <w14:ligatures w14:val="standardContextual"/>
        </w:rPr>
        <w:t>Economics</w:t>
      </w:r>
      <w:r w:rsidRPr="004865F9">
        <w:rPr>
          <w:rFonts w:ascii="Times New Roman" w:eastAsia="CMR12" w:hAnsi="Times New Roman" w:cs="Times New Roman"/>
          <w:sz w:val="24"/>
          <w:szCs w:val="24"/>
          <w14:ligatures w14:val="standardContextual"/>
        </w:rPr>
        <w:t xml:space="preserve"> 27:525–587.</w:t>
      </w:r>
    </w:p>
    <w:p w14:paraId="3E1147AA" w14:textId="474BE93A" w:rsid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lastRenderedPageBreak/>
        <w:t xml:space="preserve">Marianno, B.D., and K.O. Strunk. 2018. “The bad end of the </w:t>
      </w:r>
      <w:proofErr w:type="gramStart"/>
      <w:r w:rsidRPr="004865F9">
        <w:rPr>
          <w:rFonts w:ascii="Times New Roman" w:eastAsia="CMR12" w:hAnsi="Times New Roman" w:cs="Times New Roman"/>
          <w:sz w:val="24"/>
          <w:szCs w:val="24"/>
          <w14:ligatures w14:val="standardContextual"/>
        </w:rPr>
        <w:t>bargain?:</w:t>
      </w:r>
      <w:proofErr w:type="gramEnd"/>
      <w:r w:rsidRPr="004865F9">
        <w:rPr>
          <w:rFonts w:ascii="Times New Roman" w:eastAsia="CMR12" w:hAnsi="Times New Roman" w:cs="Times New Roman"/>
          <w:sz w:val="24"/>
          <w:szCs w:val="24"/>
          <w14:ligatures w14:val="standardContextual"/>
        </w:rPr>
        <w:t xml:space="preserve"> Revisiting the relationship between collective bargaining agreements and student achievement.” </w:t>
      </w:r>
      <w:r w:rsidRPr="004865F9">
        <w:rPr>
          <w:rFonts w:ascii="Times New Roman" w:eastAsia="CMTI12" w:hAnsi="Times New Roman" w:cs="Times New Roman"/>
          <w:sz w:val="24"/>
          <w:szCs w:val="24"/>
          <w14:ligatures w14:val="standardContextual"/>
        </w:rPr>
        <w:t>Economics of</w:t>
      </w:r>
      <w:r w:rsidRPr="004865F9">
        <w:rPr>
          <w:rFonts w:ascii="Times New Roman" w:eastAsia="CMR12" w:hAnsi="Times New Roman" w:cs="Times New Roman"/>
          <w:sz w:val="24"/>
          <w:szCs w:val="24"/>
          <w14:ligatures w14:val="standardContextual"/>
        </w:rPr>
        <w:t xml:space="preserve"> </w:t>
      </w:r>
      <w:r w:rsidRPr="004865F9">
        <w:rPr>
          <w:rFonts w:ascii="Times New Roman" w:eastAsia="CMTI12" w:hAnsi="Times New Roman" w:cs="Times New Roman"/>
          <w:sz w:val="24"/>
          <w:szCs w:val="24"/>
          <w14:ligatures w14:val="standardContextual"/>
        </w:rPr>
        <w:t xml:space="preserve">Education Review </w:t>
      </w:r>
      <w:r w:rsidRPr="004865F9">
        <w:rPr>
          <w:rFonts w:ascii="Times New Roman" w:eastAsia="CMR12" w:hAnsi="Times New Roman" w:cs="Times New Roman"/>
          <w:sz w:val="24"/>
          <w:szCs w:val="24"/>
          <w14:ligatures w14:val="standardContextual"/>
        </w:rPr>
        <w:t>65:93–106.</w:t>
      </w:r>
    </w:p>
    <w:p w14:paraId="463F2AD0"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4007162C" w14:textId="005A581D" w:rsid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Moe, T.M. 2009. “Collective Bargaining and The Performance of the Public Schools.” </w:t>
      </w:r>
      <w:r w:rsidRPr="004865F9">
        <w:rPr>
          <w:rFonts w:ascii="Times New Roman" w:eastAsia="CMTI12" w:hAnsi="Times New Roman" w:cs="Times New Roman"/>
          <w:i/>
          <w:iCs/>
          <w:sz w:val="24"/>
          <w:szCs w:val="24"/>
          <w14:ligatures w14:val="standardContextual"/>
        </w:rPr>
        <w:t>American</w:t>
      </w:r>
      <w:r w:rsidRPr="004865F9">
        <w:rPr>
          <w:rFonts w:ascii="Times New Roman" w:eastAsia="CMR12" w:hAnsi="Times New Roman" w:cs="Times New Roman"/>
          <w:i/>
          <w:iCs/>
          <w:sz w:val="24"/>
          <w:szCs w:val="24"/>
          <w14:ligatures w14:val="standardContextual"/>
        </w:rPr>
        <w:t xml:space="preserve"> </w:t>
      </w:r>
      <w:r w:rsidRPr="004865F9">
        <w:rPr>
          <w:rFonts w:ascii="Times New Roman" w:eastAsia="CMTI12" w:hAnsi="Times New Roman" w:cs="Times New Roman"/>
          <w:i/>
          <w:iCs/>
          <w:sz w:val="24"/>
          <w:szCs w:val="24"/>
          <w14:ligatures w14:val="standardContextual"/>
        </w:rPr>
        <w:t>Journal of Political Science</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53:156–174.</w:t>
      </w:r>
    </w:p>
    <w:p w14:paraId="24F30F41"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6A30DD92" w14:textId="5A87F958" w:rsid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National Academy of Sciences. 2007. “Rising above the Gathering Storm.” Washington, DC: National Academies Press.</w:t>
      </w:r>
    </w:p>
    <w:p w14:paraId="2D757C1D" w14:textId="77777777" w:rsid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2BB2C307" w14:textId="4343A6AE"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National Commission on Mathematics and Science Teaching for the 21st Century. 2000. “Before It’s Too Late.” Jessup, MD: Education Publications Center.</w:t>
      </w:r>
    </w:p>
    <w:p w14:paraId="155E379B" w14:textId="77777777"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7505B273" w14:textId="0F272188"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Rose, H., and J. </w:t>
      </w:r>
      <w:proofErr w:type="spellStart"/>
      <w:r w:rsidRPr="004865F9">
        <w:rPr>
          <w:rFonts w:ascii="Times New Roman" w:eastAsia="CMR12" w:hAnsi="Times New Roman" w:cs="Times New Roman"/>
          <w:sz w:val="24"/>
          <w:szCs w:val="24"/>
          <w14:ligatures w14:val="standardContextual"/>
        </w:rPr>
        <w:t>Sonstelie</w:t>
      </w:r>
      <w:proofErr w:type="spellEnd"/>
      <w:r w:rsidRPr="004865F9">
        <w:rPr>
          <w:rFonts w:ascii="Times New Roman" w:eastAsia="CMR12" w:hAnsi="Times New Roman" w:cs="Times New Roman"/>
          <w:sz w:val="24"/>
          <w:szCs w:val="24"/>
          <w14:ligatures w14:val="standardContextual"/>
        </w:rPr>
        <w:t xml:space="preserve">. 2010. “School Board Politics, School District Size, and the Bargaining Power of Teachers’ Unions.” </w:t>
      </w:r>
      <w:r w:rsidRPr="004865F9">
        <w:rPr>
          <w:rFonts w:ascii="Times New Roman" w:eastAsia="CMTI12" w:hAnsi="Times New Roman" w:cs="Times New Roman"/>
          <w:i/>
          <w:iCs/>
          <w:sz w:val="24"/>
          <w:szCs w:val="24"/>
          <w14:ligatures w14:val="standardContextual"/>
        </w:rPr>
        <w:t>Journal of Urban Economics</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67:438 – 450.</w:t>
      </w:r>
    </w:p>
    <w:p w14:paraId="6B3E0C56" w14:textId="77777777"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1655974B" w14:textId="466C2658"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Roth, J. 2019. “Union Reform and Teacher Turnover: Evidence from Wisconsin’s Act 10.”</w:t>
      </w:r>
    </w:p>
    <w:p w14:paraId="3E07D569" w14:textId="77777777"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3F23B182" w14:textId="4D92F602"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Ruggles, S., S. Flood, R. Goeken, J. Grover, E. Meyer, J. Pacas, and M. Sobek. 2019. Working paper, IPUMS USA: Version 9.0 [dataset]. Minneapolis, MN: IPUMS. </w:t>
      </w:r>
      <w:hyperlink r:id="rId9" w:history="1">
        <w:r w:rsidRPr="004865F9">
          <w:rPr>
            <w:rStyle w:val="Hyperlink"/>
            <w:rFonts w:ascii="Times New Roman" w:eastAsia="CMR12" w:hAnsi="Times New Roman" w:cs="Times New Roman"/>
            <w:sz w:val="24"/>
            <w:szCs w:val="24"/>
            <w14:ligatures w14:val="standardContextual"/>
          </w:rPr>
          <w:t>https://doi.org/10.18128/D010.V9.0</w:t>
        </w:r>
      </w:hyperlink>
      <w:r w:rsidRPr="004865F9">
        <w:rPr>
          <w:rFonts w:ascii="Times New Roman" w:eastAsia="CMR12" w:hAnsi="Times New Roman" w:cs="Times New Roman"/>
          <w:sz w:val="24"/>
          <w:szCs w:val="24"/>
          <w14:ligatures w14:val="standardContextual"/>
        </w:rPr>
        <w:t>.</w:t>
      </w:r>
    </w:p>
    <w:p w14:paraId="19F494E7" w14:textId="77777777"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p>
    <w:p w14:paraId="2931676D" w14:textId="06580DBE" w:rsid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Strunk, K.O. 2011. “Are Teachers’ Unions Really to Blame? Collective Bargaining Agreements and Their Relationships with District Resource Allocation and Student Performance in California.” </w:t>
      </w:r>
      <w:r w:rsidRPr="004865F9">
        <w:rPr>
          <w:rFonts w:ascii="Times New Roman" w:eastAsia="CMTI12" w:hAnsi="Times New Roman" w:cs="Times New Roman"/>
          <w:i/>
          <w:iCs/>
          <w:sz w:val="24"/>
          <w:szCs w:val="24"/>
          <w14:ligatures w14:val="standardContextual"/>
        </w:rPr>
        <w:t>Education Finance and Policy</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6:354–398.</w:t>
      </w:r>
    </w:p>
    <w:p w14:paraId="7B13D815" w14:textId="77777777" w:rsid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066161A7" w14:textId="4355A852"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Strunk, K.O., and A. McEachin. 2011. “Accountability Under Constraint: The Relationship Between Collective Bargaining Agreements and California Schools’ and Districts’ Performance Under No Child Left Behind.” </w:t>
      </w:r>
      <w:r w:rsidRPr="004865F9">
        <w:rPr>
          <w:rFonts w:ascii="Times New Roman" w:eastAsia="CMTI12" w:hAnsi="Times New Roman" w:cs="Times New Roman"/>
          <w:i/>
          <w:iCs/>
          <w:sz w:val="24"/>
          <w:szCs w:val="24"/>
          <w14:ligatures w14:val="standardContextual"/>
        </w:rPr>
        <w:t xml:space="preserve">American Educational Research Journal </w:t>
      </w:r>
      <w:r w:rsidRPr="004865F9">
        <w:rPr>
          <w:rFonts w:ascii="Times New Roman" w:eastAsia="CMR12" w:hAnsi="Times New Roman" w:cs="Times New Roman"/>
          <w:sz w:val="24"/>
          <w:szCs w:val="24"/>
          <w14:ligatures w14:val="standardContextual"/>
        </w:rPr>
        <w:t>48:871–903.</w:t>
      </w:r>
    </w:p>
    <w:p w14:paraId="48273405"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04B3373A" w14:textId="230382AD"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West, K.L. 2015. “Teachers’ Unions, Compensation, and Tenure.” </w:t>
      </w:r>
      <w:r w:rsidRPr="004865F9">
        <w:rPr>
          <w:rFonts w:ascii="Times New Roman" w:eastAsia="CMTI12" w:hAnsi="Times New Roman" w:cs="Times New Roman"/>
          <w:i/>
          <w:iCs/>
          <w:sz w:val="24"/>
          <w:szCs w:val="24"/>
          <w14:ligatures w14:val="standardContextual"/>
        </w:rPr>
        <w:t>Industrial Relations: A Journal</w:t>
      </w:r>
      <w:r w:rsidRPr="004865F9">
        <w:rPr>
          <w:rFonts w:ascii="Times New Roman" w:eastAsia="CMR12" w:hAnsi="Times New Roman" w:cs="Times New Roman"/>
          <w:i/>
          <w:iCs/>
          <w:sz w:val="24"/>
          <w:szCs w:val="24"/>
          <w14:ligatures w14:val="standardContextual"/>
        </w:rPr>
        <w:t xml:space="preserve"> </w:t>
      </w:r>
      <w:r w:rsidRPr="004865F9">
        <w:rPr>
          <w:rFonts w:ascii="Times New Roman" w:eastAsia="CMTI12" w:hAnsi="Times New Roman" w:cs="Times New Roman"/>
          <w:i/>
          <w:iCs/>
          <w:sz w:val="24"/>
          <w:szCs w:val="24"/>
          <w14:ligatures w14:val="standardContextual"/>
        </w:rPr>
        <w:t>of Economy and Society</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54:294–320.</w:t>
      </w:r>
    </w:p>
    <w:p w14:paraId="58B8FF09"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376F39FD" w14:textId="4C1CF474"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West, K.L., and E. </w:t>
      </w:r>
      <w:proofErr w:type="spellStart"/>
      <w:r w:rsidRPr="004865F9">
        <w:rPr>
          <w:rFonts w:ascii="Times New Roman" w:eastAsia="CMR12" w:hAnsi="Times New Roman" w:cs="Times New Roman"/>
          <w:sz w:val="24"/>
          <w:szCs w:val="24"/>
          <w14:ligatures w14:val="standardContextual"/>
        </w:rPr>
        <w:t>Mykerezi</w:t>
      </w:r>
      <w:proofErr w:type="spellEnd"/>
      <w:r w:rsidRPr="004865F9">
        <w:rPr>
          <w:rFonts w:ascii="Times New Roman" w:eastAsia="CMR12" w:hAnsi="Times New Roman" w:cs="Times New Roman"/>
          <w:sz w:val="24"/>
          <w:szCs w:val="24"/>
          <w14:ligatures w14:val="standardContextual"/>
        </w:rPr>
        <w:t xml:space="preserve">. 2011. “Teachers’ Unions and Compensation: The Impact of Collective Bargaining on Salary Schedules and Performance Pay Schemes.” </w:t>
      </w:r>
      <w:r w:rsidRPr="004865F9">
        <w:rPr>
          <w:rFonts w:ascii="Times New Roman" w:eastAsia="CMTI12" w:hAnsi="Times New Roman" w:cs="Times New Roman"/>
          <w:i/>
          <w:iCs/>
          <w:sz w:val="24"/>
          <w:szCs w:val="24"/>
          <w14:ligatures w14:val="standardContextual"/>
        </w:rPr>
        <w:t>Economics of Education</w:t>
      </w:r>
      <w:r w:rsidRPr="004865F9">
        <w:rPr>
          <w:rFonts w:ascii="Times New Roman" w:eastAsia="CMR12" w:hAnsi="Times New Roman" w:cs="Times New Roman"/>
          <w:i/>
          <w:iCs/>
          <w:sz w:val="24"/>
          <w:szCs w:val="24"/>
          <w14:ligatures w14:val="standardContextual"/>
        </w:rPr>
        <w:t xml:space="preserve"> </w:t>
      </w:r>
      <w:r w:rsidRPr="004865F9">
        <w:rPr>
          <w:rFonts w:ascii="Times New Roman" w:eastAsia="CMTI12" w:hAnsi="Times New Roman" w:cs="Times New Roman"/>
          <w:i/>
          <w:iCs/>
          <w:sz w:val="24"/>
          <w:szCs w:val="24"/>
          <w14:ligatures w14:val="standardContextual"/>
        </w:rPr>
        <w:t>Review</w:t>
      </w:r>
      <w:r w:rsidRPr="004865F9">
        <w:rPr>
          <w:rFonts w:ascii="Times New Roman" w:eastAsia="CMTI12" w:hAnsi="Times New Roman" w:cs="Times New Roman"/>
          <w:sz w:val="24"/>
          <w:szCs w:val="24"/>
          <w14:ligatures w14:val="standardContextual"/>
        </w:rPr>
        <w:t xml:space="preserve"> </w:t>
      </w:r>
      <w:r w:rsidRPr="004865F9">
        <w:rPr>
          <w:rFonts w:ascii="Times New Roman" w:eastAsia="CMR12" w:hAnsi="Times New Roman" w:cs="Times New Roman"/>
          <w:sz w:val="24"/>
          <w:szCs w:val="24"/>
          <w14:ligatures w14:val="standardContextual"/>
        </w:rPr>
        <w:t>30:99–108.</w:t>
      </w:r>
    </w:p>
    <w:p w14:paraId="0DDAED78" w14:textId="77777777" w:rsidR="004865F9" w:rsidRPr="004865F9" w:rsidRDefault="004865F9" w:rsidP="004865F9">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7F0541BF" w14:textId="2C7457C6" w:rsidR="004865F9" w:rsidRPr="004865F9" w:rsidRDefault="004865F9" w:rsidP="004865F9">
      <w:pPr>
        <w:autoSpaceDE w:val="0"/>
        <w:autoSpaceDN w:val="0"/>
        <w:adjustRightInd w:val="0"/>
        <w:spacing w:after="0" w:line="240" w:lineRule="auto"/>
        <w:ind w:left="360" w:hanging="360"/>
        <w:jc w:val="both"/>
        <w:rPr>
          <w:rFonts w:ascii="Times New Roman" w:eastAsia="CMR12" w:hAnsi="Times New Roman" w:cs="Times New Roman"/>
          <w:sz w:val="24"/>
          <w:szCs w:val="24"/>
          <w14:ligatures w14:val="standardContextual"/>
        </w:rPr>
      </w:pPr>
      <w:r w:rsidRPr="004865F9">
        <w:rPr>
          <w:rFonts w:ascii="Times New Roman" w:eastAsia="CMR12" w:hAnsi="Times New Roman" w:cs="Times New Roman"/>
          <w:sz w:val="24"/>
          <w:szCs w:val="24"/>
          <w14:ligatures w14:val="standardContextual"/>
        </w:rPr>
        <w:t xml:space="preserve">Winkler, J.S., Amber M., and D. </w:t>
      </w:r>
      <w:proofErr w:type="spellStart"/>
      <w:r w:rsidRPr="004865F9">
        <w:rPr>
          <w:rFonts w:ascii="Times New Roman" w:eastAsia="CMR12" w:hAnsi="Times New Roman" w:cs="Times New Roman"/>
          <w:sz w:val="24"/>
          <w:szCs w:val="24"/>
          <w14:ligatures w14:val="standardContextual"/>
        </w:rPr>
        <w:t>Zeehandelaar</w:t>
      </w:r>
      <w:proofErr w:type="spellEnd"/>
      <w:r w:rsidRPr="004865F9">
        <w:rPr>
          <w:rFonts w:ascii="Times New Roman" w:eastAsia="CMR12" w:hAnsi="Times New Roman" w:cs="Times New Roman"/>
          <w:sz w:val="24"/>
          <w:szCs w:val="24"/>
          <w14:ligatures w14:val="standardContextual"/>
        </w:rPr>
        <w:t xml:space="preserve">. 2012. “How Strong Are US Teacher Unions? A State-by-State Comparison.” </w:t>
      </w:r>
      <w:r w:rsidRPr="004865F9">
        <w:rPr>
          <w:rFonts w:ascii="Times New Roman" w:eastAsia="CMTI12" w:hAnsi="Times New Roman" w:cs="Times New Roman"/>
          <w:i/>
          <w:iCs/>
          <w:sz w:val="24"/>
          <w:szCs w:val="24"/>
          <w14:ligatures w14:val="standardContextual"/>
        </w:rPr>
        <w:t>Thomas B. Fordham Institute</w:t>
      </w:r>
      <w:r w:rsidRPr="004865F9">
        <w:rPr>
          <w:rFonts w:ascii="Times New Roman" w:eastAsia="CMR12" w:hAnsi="Times New Roman" w:cs="Times New Roman"/>
          <w:sz w:val="24"/>
          <w:szCs w:val="24"/>
          <w14:ligatures w14:val="standardContextual"/>
        </w:rPr>
        <w:t>.</w:t>
      </w:r>
    </w:p>
    <w:p w14:paraId="75CEB4E9" w14:textId="2642D11A" w:rsidR="00365CDF" w:rsidRDefault="00365CDF">
      <w:pPr>
        <w:jc w:val="both"/>
        <w:rPr>
          <w:rFonts w:ascii="Times New Roman" w:eastAsia="CMR12" w:hAnsi="Times New Roman" w:cs="Times New Roman"/>
          <w:sz w:val="24"/>
          <w:szCs w:val="24"/>
          <w14:ligatures w14:val="standardContextual"/>
        </w:rPr>
      </w:pPr>
      <w:r>
        <w:rPr>
          <w:rFonts w:ascii="Times New Roman" w:eastAsia="CMR12" w:hAnsi="Times New Roman" w:cs="Times New Roman"/>
          <w:sz w:val="24"/>
          <w:szCs w:val="24"/>
          <w14:ligatures w14:val="standardContextual"/>
        </w:rPr>
        <w:br w:type="page"/>
      </w:r>
    </w:p>
    <w:p w14:paraId="2CF37F97" w14:textId="77777777" w:rsidR="00365CDF" w:rsidRDefault="00365CDF"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sectPr w:rsidR="00365CDF">
          <w:footerReference w:type="default" r:id="rId10"/>
          <w:pgSz w:w="11906" w:h="16838"/>
          <w:pgMar w:top="1440" w:right="1440" w:bottom="1440" w:left="1440" w:header="851" w:footer="992" w:gutter="0"/>
          <w:cols w:space="425"/>
          <w:docGrid w:linePitch="360"/>
        </w:sectPr>
      </w:pPr>
    </w:p>
    <w:p w14:paraId="3848D357" w14:textId="0B1511B5" w:rsidR="00365CDF" w:rsidRDefault="00365CDF" w:rsidP="00365CDF">
      <w:pPr>
        <w:autoSpaceDE w:val="0"/>
        <w:autoSpaceDN w:val="0"/>
        <w:adjustRightInd w:val="0"/>
        <w:spacing w:after="0" w:line="240" w:lineRule="auto"/>
        <w:jc w:val="center"/>
        <w:rPr>
          <w:rFonts w:ascii="Times New Roman" w:eastAsia="CMR12" w:hAnsi="Times New Roman" w:cs="Times New Roman"/>
          <w:sz w:val="24"/>
          <w:szCs w:val="24"/>
          <w14:ligatures w14:val="standardContextual"/>
        </w:rPr>
      </w:pPr>
      <w:r>
        <w:rPr>
          <w:rFonts w:ascii="Times New Roman" w:eastAsia="CMR12" w:hAnsi="Times New Roman" w:cs="Times New Roman" w:hint="eastAsia"/>
          <w:sz w:val="24"/>
          <w:szCs w:val="24"/>
          <w14:ligatures w14:val="standardContextual"/>
        </w:rPr>
        <w:lastRenderedPageBreak/>
        <w:t>F</w:t>
      </w:r>
      <w:r>
        <w:rPr>
          <w:rFonts w:ascii="Times New Roman" w:eastAsia="CMR12" w:hAnsi="Times New Roman" w:cs="Times New Roman"/>
          <w:sz w:val="24"/>
          <w:szCs w:val="24"/>
          <w14:ligatures w14:val="standardContextual"/>
        </w:rPr>
        <w:t>igure 1: Collective Bargaining Laws across States</w:t>
      </w:r>
    </w:p>
    <w:p w14:paraId="2C65B203" w14:textId="77777777" w:rsidR="00365CDF" w:rsidRDefault="00365CDF"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41A4A98E" w14:textId="77777777" w:rsidR="00365CDF" w:rsidRDefault="00365CDF" w:rsidP="00365CDF">
      <w:pPr>
        <w:autoSpaceDE w:val="0"/>
        <w:autoSpaceDN w:val="0"/>
        <w:adjustRightInd w:val="0"/>
        <w:spacing w:after="0" w:line="240" w:lineRule="auto"/>
        <w:jc w:val="center"/>
        <w:rPr>
          <w:rFonts w:ascii="Times New Roman" w:eastAsia="CMR12" w:hAnsi="Times New Roman" w:cs="Times New Roman"/>
          <w:sz w:val="24"/>
          <w:szCs w:val="24"/>
          <w14:ligatures w14:val="standardContextual"/>
        </w:rPr>
      </w:pPr>
      <w:r>
        <w:rPr>
          <w:rFonts w:ascii="Times New Roman" w:eastAsia="CMR12" w:hAnsi="Times New Roman" w:cs="Times New Roman"/>
          <w:noProof/>
          <w:sz w:val="24"/>
          <w:szCs w:val="24"/>
          <w14:ligatures w14:val="standardContextual"/>
        </w:rPr>
        <w:drawing>
          <wp:inline distT="0" distB="0" distL="0" distR="0" wp14:anchorId="55F260F8" wp14:editId="015891A7">
            <wp:extent cx="6324054" cy="4233545"/>
            <wp:effectExtent l="0" t="0" r="635" b="0"/>
            <wp:docPr id="954597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7875" cy="4256186"/>
                    </a:xfrm>
                    <a:prstGeom prst="rect">
                      <a:avLst/>
                    </a:prstGeom>
                    <a:noFill/>
                    <a:ln>
                      <a:noFill/>
                    </a:ln>
                  </pic:spPr>
                </pic:pic>
              </a:graphicData>
            </a:graphic>
          </wp:inline>
        </w:drawing>
      </w:r>
    </w:p>
    <w:p w14:paraId="37E46760" w14:textId="77777777" w:rsidR="00365CDF" w:rsidRDefault="00365CDF" w:rsidP="00365CDF">
      <w:pPr>
        <w:autoSpaceDE w:val="0"/>
        <w:autoSpaceDN w:val="0"/>
        <w:adjustRightInd w:val="0"/>
        <w:spacing w:after="0" w:line="240" w:lineRule="auto"/>
        <w:rPr>
          <w:rFonts w:ascii="Times New Roman" w:eastAsia="CMR12" w:hAnsi="Times New Roman" w:cs="Times New Roman"/>
          <w:sz w:val="24"/>
          <w:szCs w:val="24"/>
          <w14:ligatures w14:val="standardContextual"/>
        </w:rPr>
      </w:pPr>
    </w:p>
    <w:p w14:paraId="147287F8" w14:textId="39D37C69" w:rsidR="00365CDF" w:rsidRPr="00365CDF" w:rsidRDefault="00365CDF" w:rsidP="00365CDF">
      <w:pPr>
        <w:widowControl w:val="0"/>
        <w:autoSpaceDE w:val="0"/>
        <w:autoSpaceDN w:val="0"/>
        <w:adjustRightInd w:val="0"/>
        <w:spacing w:after="0" w:line="240" w:lineRule="auto"/>
        <w:ind w:firstLineChars="236" w:firstLine="472"/>
        <w:jc w:val="center"/>
        <w:rPr>
          <w:rFonts w:ascii="Times New Roman" w:eastAsia="CMR10" w:hAnsi="Times New Roman" w:cs="Times New Roman"/>
          <w:sz w:val="20"/>
          <w:szCs w:val="20"/>
          <w14:ligatures w14:val="standardContextual"/>
        </w:rPr>
        <w:sectPr w:rsidR="00365CDF" w:rsidRPr="00365CDF" w:rsidSect="00365CDF">
          <w:pgSz w:w="16838" w:h="11906" w:orient="landscape"/>
          <w:pgMar w:top="1440" w:right="1440" w:bottom="1440" w:left="1440" w:header="851" w:footer="992" w:gutter="0"/>
          <w:cols w:space="425"/>
          <w:docGrid w:linePitch="360"/>
        </w:sectPr>
      </w:pPr>
      <w:r w:rsidRPr="00365CDF">
        <w:rPr>
          <w:rFonts w:ascii="Times New Roman" w:eastAsia="CMR12" w:hAnsi="Times New Roman" w:cs="Times New Roman"/>
          <w:i/>
          <w:iCs/>
          <w:sz w:val="20"/>
          <w:szCs w:val="20"/>
          <w14:ligatures w14:val="standardContextual"/>
        </w:rPr>
        <w:t>Notes:</w:t>
      </w:r>
      <w:r w:rsidRPr="00365CDF">
        <w:rPr>
          <w:rFonts w:ascii="Times New Roman" w:eastAsia="CMR10" w:hAnsi="Times New Roman" w:cs="Times New Roman"/>
          <w:sz w:val="20"/>
          <w:szCs w:val="20"/>
          <w14:ligatures w14:val="standardContextual"/>
        </w:rPr>
        <w:t xml:space="preserve"> </w:t>
      </w:r>
      <w:r w:rsidRPr="00365CDF">
        <w:rPr>
          <w:rFonts w:ascii="Times New Roman" w:eastAsia="CMR10" w:hAnsi="Times New Roman" w:cs="Times New Roman"/>
          <w:sz w:val="20"/>
          <w:szCs w:val="20"/>
          <w14:ligatures w14:val="standardContextual"/>
        </w:rPr>
        <w:t>The figure visualizes collective bargaining (CB) laws across states. Darker shading indicates states</w:t>
      </w:r>
      <w:r>
        <w:rPr>
          <w:rFonts w:ascii="Times New Roman" w:eastAsia="CMR10" w:hAnsi="Times New Roman" w:cs="Times New Roman" w:hint="eastAsia"/>
          <w:sz w:val="20"/>
          <w:szCs w:val="20"/>
          <w14:ligatures w14:val="standardContextual"/>
        </w:rPr>
        <w:t xml:space="preserve"> </w:t>
      </w:r>
      <w:r w:rsidRPr="00365CDF">
        <w:rPr>
          <w:rFonts w:ascii="Times New Roman" w:eastAsia="CMR10" w:hAnsi="Times New Roman" w:cs="Times New Roman"/>
          <w:sz w:val="20"/>
          <w:szCs w:val="20"/>
          <w14:ligatures w14:val="standardContextual"/>
        </w:rPr>
        <w:t>where CB is mandatory. See the text for details.</w:t>
      </w:r>
    </w:p>
    <w:tbl>
      <w:tblPr>
        <w:tblW w:w="13725" w:type="dxa"/>
        <w:tblCellMar>
          <w:left w:w="99" w:type="dxa"/>
          <w:right w:w="99" w:type="dxa"/>
        </w:tblCellMar>
        <w:tblLook w:val="04A0" w:firstRow="1" w:lastRow="0" w:firstColumn="1" w:lastColumn="0" w:noHBand="0" w:noVBand="1"/>
      </w:tblPr>
      <w:tblGrid>
        <w:gridCol w:w="3487"/>
        <w:gridCol w:w="1323"/>
        <w:gridCol w:w="1094"/>
        <w:gridCol w:w="259"/>
        <w:gridCol w:w="1323"/>
        <w:gridCol w:w="1094"/>
        <w:gridCol w:w="259"/>
        <w:gridCol w:w="1323"/>
        <w:gridCol w:w="1094"/>
        <w:gridCol w:w="259"/>
        <w:gridCol w:w="1323"/>
        <w:gridCol w:w="1094"/>
      </w:tblGrid>
      <w:tr w:rsidR="000E49B7" w:rsidRPr="000E49B7" w14:paraId="3F47FA55" w14:textId="77777777" w:rsidTr="000E49B7">
        <w:trPr>
          <w:trHeight w:val="345"/>
        </w:trPr>
        <w:tc>
          <w:tcPr>
            <w:tcW w:w="13725" w:type="dxa"/>
            <w:gridSpan w:val="12"/>
            <w:tcBorders>
              <w:top w:val="nil"/>
              <w:left w:val="nil"/>
              <w:bottom w:val="double" w:sz="6" w:space="0" w:color="auto"/>
              <w:right w:val="nil"/>
            </w:tcBorders>
            <w:shd w:val="clear" w:color="auto" w:fill="auto"/>
            <w:noWrap/>
            <w:vAlign w:val="bottom"/>
            <w:hideMark/>
          </w:tcPr>
          <w:p w14:paraId="4A8083AA"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lastRenderedPageBreak/>
              <w:t>Table 1: Summary Statistics</w:t>
            </w:r>
          </w:p>
        </w:tc>
      </w:tr>
      <w:tr w:rsidR="000E49B7" w:rsidRPr="000E49B7" w14:paraId="74196313" w14:textId="77777777" w:rsidTr="000E49B7">
        <w:trPr>
          <w:trHeight w:val="345"/>
        </w:trPr>
        <w:tc>
          <w:tcPr>
            <w:tcW w:w="3487" w:type="dxa"/>
            <w:tcBorders>
              <w:top w:val="nil"/>
              <w:left w:val="nil"/>
              <w:bottom w:val="nil"/>
              <w:right w:val="nil"/>
            </w:tcBorders>
            <w:shd w:val="clear" w:color="auto" w:fill="auto"/>
            <w:noWrap/>
            <w:vAlign w:val="bottom"/>
            <w:hideMark/>
          </w:tcPr>
          <w:p w14:paraId="475B6618"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p>
        </w:tc>
        <w:tc>
          <w:tcPr>
            <w:tcW w:w="5024" w:type="dxa"/>
            <w:gridSpan w:val="5"/>
            <w:tcBorders>
              <w:top w:val="double" w:sz="6" w:space="0" w:color="auto"/>
              <w:left w:val="nil"/>
              <w:bottom w:val="single" w:sz="4" w:space="0" w:color="auto"/>
              <w:right w:val="nil"/>
            </w:tcBorders>
            <w:shd w:val="clear" w:color="auto" w:fill="auto"/>
            <w:noWrap/>
            <w:vAlign w:val="bottom"/>
            <w:hideMark/>
          </w:tcPr>
          <w:p w14:paraId="1868910B"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Women</w:t>
            </w:r>
          </w:p>
        </w:tc>
        <w:tc>
          <w:tcPr>
            <w:tcW w:w="190" w:type="dxa"/>
            <w:tcBorders>
              <w:top w:val="nil"/>
              <w:left w:val="nil"/>
              <w:bottom w:val="nil"/>
              <w:right w:val="nil"/>
            </w:tcBorders>
            <w:shd w:val="clear" w:color="auto" w:fill="auto"/>
            <w:noWrap/>
            <w:vAlign w:val="bottom"/>
            <w:hideMark/>
          </w:tcPr>
          <w:p w14:paraId="7E91232A"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p>
        </w:tc>
        <w:tc>
          <w:tcPr>
            <w:tcW w:w="5024" w:type="dxa"/>
            <w:gridSpan w:val="5"/>
            <w:tcBorders>
              <w:top w:val="double" w:sz="6" w:space="0" w:color="auto"/>
              <w:left w:val="nil"/>
              <w:bottom w:val="single" w:sz="4" w:space="0" w:color="auto"/>
              <w:right w:val="nil"/>
            </w:tcBorders>
            <w:shd w:val="clear" w:color="auto" w:fill="auto"/>
            <w:noWrap/>
            <w:vAlign w:val="bottom"/>
            <w:hideMark/>
          </w:tcPr>
          <w:p w14:paraId="20FF1019"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Men</w:t>
            </w:r>
          </w:p>
        </w:tc>
      </w:tr>
      <w:tr w:rsidR="000E49B7" w:rsidRPr="000E49B7" w14:paraId="4D9F3A32" w14:textId="77777777" w:rsidTr="000E49B7">
        <w:trPr>
          <w:trHeight w:val="330"/>
        </w:trPr>
        <w:tc>
          <w:tcPr>
            <w:tcW w:w="3487" w:type="dxa"/>
            <w:tcBorders>
              <w:top w:val="nil"/>
              <w:left w:val="nil"/>
              <w:bottom w:val="nil"/>
              <w:right w:val="nil"/>
            </w:tcBorders>
            <w:shd w:val="clear" w:color="auto" w:fill="auto"/>
            <w:noWrap/>
            <w:vAlign w:val="bottom"/>
            <w:hideMark/>
          </w:tcPr>
          <w:p w14:paraId="0CFAC17F"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p>
        </w:tc>
        <w:tc>
          <w:tcPr>
            <w:tcW w:w="2417" w:type="dxa"/>
            <w:gridSpan w:val="2"/>
            <w:tcBorders>
              <w:top w:val="single" w:sz="4" w:space="0" w:color="auto"/>
              <w:left w:val="nil"/>
              <w:bottom w:val="single" w:sz="4" w:space="0" w:color="auto"/>
              <w:right w:val="nil"/>
            </w:tcBorders>
            <w:shd w:val="clear" w:color="auto" w:fill="auto"/>
            <w:noWrap/>
            <w:vAlign w:val="bottom"/>
            <w:hideMark/>
          </w:tcPr>
          <w:p w14:paraId="0ADDE6B4"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CB</w:t>
            </w:r>
          </w:p>
        </w:tc>
        <w:tc>
          <w:tcPr>
            <w:tcW w:w="190" w:type="dxa"/>
            <w:tcBorders>
              <w:top w:val="nil"/>
              <w:left w:val="nil"/>
              <w:bottom w:val="single" w:sz="4" w:space="0" w:color="auto"/>
              <w:right w:val="nil"/>
            </w:tcBorders>
            <w:shd w:val="clear" w:color="auto" w:fill="auto"/>
            <w:noWrap/>
            <w:vAlign w:val="bottom"/>
            <w:hideMark/>
          </w:tcPr>
          <w:p w14:paraId="7DE83864"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 xml:space="preserve">　</w:t>
            </w:r>
          </w:p>
        </w:tc>
        <w:tc>
          <w:tcPr>
            <w:tcW w:w="2417" w:type="dxa"/>
            <w:gridSpan w:val="2"/>
            <w:tcBorders>
              <w:top w:val="single" w:sz="4" w:space="0" w:color="auto"/>
              <w:left w:val="nil"/>
              <w:bottom w:val="single" w:sz="4" w:space="0" w:color="auto"/>
              <w:right w:val="nil"/>
            </w:tcBorders>
            <w:shd w:val="clear" w:color="auto" w:fill="auto"/>
            <w:noWrap/>
            <w:vAlign w:val="bottom"/>
            <w:hideMark/>
          </w:tcPr>
          <w:p w14:paraId="50C84C96"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No CB</w:t>
            </w:r>
          </w:p>
        </w:tc>
        <w:tc>
          <w:tcPr>
            <w:tcW w:w="190" w:type="dxa"/>
            <w:tcBorders>
              <w:top w:val="nil"/>
              <w:left w:val="nil"/>
              <w:bottom w:val="nil"/>
              <w:right w:val="nil"/>
            </w:tcBorders>
            <w:shd w:val="clear" w:color="auto" w:fill="auto"/>
            <w:noWrap/>
            <w:vAlign w:val="bottom"/>
            <w:hideMark/>
          </w:tcPr>
          <w:p w14:paraId="2F2F04DD"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p>
        </w:tc>
        <w:tc>
          <w:tcPr>
            <w:tcW w:w="2417" w:type="dxa"/>
            <w:gridSpan w:val="2"/>
            <w:tcBorders>
              <w:top w:val="single" w:sz="4" w:space="0" w:color="auto"/>
              <w:left w:val="nil"/>
              <w:bottom w:val="single" w:sz="4" w:space="0" w:color="auto"/>
              <w:right w:val="nil"/>
            </w:tcBorders>
            <w:shd w:val="clear" w:color="auto" w:fill="auto"/>
            <w:noWrap/>
            <w:vAlign w:val="bottom"/>
            <w:hideMark/>
          </w:tcPr>
          <w:p w14:paraId="39DA5B1E"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CB</w:t>
            </w:r>
          </w:p>
        </w:tc>
        <w:tc>
          <w:tcPr>
            <w:tcW w:w="190" w:type="dxa"/>
            <w:tcBorders>
              <w:top w:val="nil"/>
              <w:left w:val="nil"/>
              <w:bottom w:val="single" w:sz="4" w:space="0" w:color="auto"/>
              <w:right w:val="nil"/>
            </w:tcBorders>
            <w:shd w:val="clear" w:color="auto" w:fill="auto"/>
            <w:noWrap/>
            <w:vAlign w:val="bottom"/>
            <w:hideMark/>
          </w:tcPr>
          <w:p w14:paraId="08E656A8"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 xml:space="preserve">　</w:t>
            </w:r>
          </w:p>
        </w:tc>
        <w:tc>
          <w:tcPr>
            <w:tcW w:w="2417" w:type="dxa"/>
            <w:gridSpan w:val="2"/>
            <w:tcBorders>
              <w:top w:val="single" w:sz="4" w:space="0" w:color="auto"/>
              <w:left w:val="nil"/>
              <w:bottom w:val="single" w:sz="4" w:space="0" w:color="auto"/>
              <w:right w:val="nil"/>
            </w:tcBorders>
            <w:shd w:val="clear" w:color="auto" w:fill="auto"/>
            <w:noWrap/>
            <w:vAlign w:val="bottom"/>
            <w:hideMark/>
          </w:tcPr>
          <w:p w14:paraId="07972CD2"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No CB</w:t>
            </w:r>
          </w:p>
        </w:tc>
      </w:tr>
      <w:tr w:rsidR="000E49B7" w:rsidRPr="000E49B7" w14:paraId="4A99C94C" w14:textId="77777777" w:rsidTr="000E49B7">
        <w:trPr>
          <w:trHeight w:val="330"/>
        </w:trPr>
        <w:tc>
          <w:tcPr>
            <w:tcW w:w="3487" w:type="dxa"/>
            <w:tcBorders>
              <w:top w:val="nil"/>
              <w:left w:val="nil"/>
              <w:bottom w:val="single" w:sz="4" w:space="0" w:color="auto"/>
              <w:right w:val="nil"/>
            </w:tcBorders>
            <w:shd w:val="clear" w:color="auto" w:fill="auto"/>
            <w:noWrap/>
            <w:vAlign w:val="bottom"/>
            <w:hideMark/>
          </w:tcPr>
          <w:p w14:paraId="70887C0F"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 xml:space="preserve">　</w:t>
            </w:r>
          </w:p>
        </w:tc>
        <w:tc>
          <w:tcPr>
            <w:tcW w:w="1323" w:type="dxa"/>
            <w:tcBorders>
              <w:top w:val="nil"/>
              <w:left w:val="nil"/>
              <w:bottom w:val="single" w:sz="4" w:space="0" w:color="auto"/>
              <w:right w:val="nil"/>
            </w:tcBorders>
            <w:shd w:val="clear" w:color="auto" w:fill="auto"/>
            <w:noWrap/>
            <w:vAlign w:val="bottom"/>
            <w:hideMark/>
          </w:tcPr>
          <w:p w14:paraId="3F0C3AD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Mean</w:t>
            </w:r>
          </w:p>
        </w:tc>
        <w:tc>
          <w:tcPr>
            <w:tcW w:w="1094" w:type="dxa"/>
            <w:tcBorders>
              <w:top w:val="nil"/>
              <w:left w:val="nil"/>
              <w:bottom w:val="single" w:sz="4" w:space="0" w:color="auto"/>
              <w:right w:val="nil"/>
            </w:tcBorders>
            <w:shd w:val="clear" w:color="auto" w:fill="auto"/>
            <w:noWrap/>
            <w:vAlign w:val="bottom"/>
            <w:hideMark/>
          </w:tcPr>
          <w:p w14:paraId="533B3462"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SD</w:t>
            </w:r>
          </w:p>
        </w:tc>
        <w:tc>
          <w:tcPr>
            <w:tcW w:w="190" w:type="dxa"/>
            <w:tcBorders>
              <w:top w:val="nil"/>
              <w:left w:val="nil"/>
              <w:bottom w:val="single" w:sz="4" w:space="0" w:color="auto"/>
              <w:right w:val="nil"/>
            </w:tcBorders>
            <w:shd w:val="clear" w:color="auto" w:fill="auto"/>
            <w:noWrap/>
            <w:vAlign w:val="bottom"/>
            <w:hideMark/>
          </w:tcPr>
          <w:p w14:paraId="2155765C"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 xml:space="preserve">　</w:t>
            </w:r>
          </w:p>
        </w:tc>
        <w:tc>
          <w:tcPr>
            <w:tcW w:w="1323" w:type="dxa"/>
            <w:tcBorders>
              <w:top w:val="nil"/>
              <w:left w:val="nil"/>
              <w:bottom w:val="single" w:sz="4" w:space="0" w:color="auto"/>
              <w:right w:val="nil"/>
            </w:tcBorders>
            <w:shd w:val="clear" w:color="auto" w:fill="auto"/>
            <w:noWrap/>
            <w:vAlign w:val="bottom"/>
            <w:hideMark/>
          </w:tcPr>
          <w:p w14:paraId="66AA6A55"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Mean</w:t>
            </w:r>
          </w:p>
        </w:tc>
        <w:tc>
          <w:tcPr>
            <w:tcW w:w="1094" w:type="dxa"/>
            <w:tcBorders>
              <w:top w:val="nil"/>
              <w:left w:val="nil"/>
              <w:bottom w:val="single" w:sz="4" w:space="0" w:color="auto"/>
              <w:right w:val="nil"/>
            </w:tcBorders>
            <w:shd w:val="clear" w:color="auto" w:fill="auto"/>
            <w:noWrap/>
            <w:vAlign w:val="bottom"/>
            <w:hideMark/>
          </w:tcPr>
          <w:p w14:paraId="32BE2096"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SD</w:t>
            </w:r>
          </w:p>
        </w:tc>
        <w:tc>
          <w:tcPr>
            <w:tcW w:w="190" w:type="dxa"/>
            <w:tcBorders>
              <w:top w:val="nil"/>
              <w:left w:val="nil"/>
              <w:bottom w:val="single" w:sz="4" w:space="0" w:color="auto"/>
              <w:right w:val="nil"/>
            </w:tcBorders>
            <w:shd w:val="clear" w:color="auto" w:fill="auto"/>
            <w:noWrap/>
            <w:vAlign w:val="bottom"/>
            <w:hideMark/>
          </w:tcPr>
          <w:p w14:paraId="42F4EEF0"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 xml:space="preserve">　</w:t>
            </w:r>
          </w:p>
        </w:tc>
        <w:tc>
          <w:tcPr>
            <w:tcW w:w="1323" w:type="dxa"/>
            <w:tcBorders>
              <w:top w:val="nil"/>
              <w:left w:val="nil"/>
              <w:bottom w:val="single" w:sz="4" w:space="0" w:color="auto"/>
              <w:right w:val="nil"/>
            </w:tcBorders>
            <w:shd w:val="clear" w:color="auto" w:fill="auto"/>
            <w:noWrap/>
            <w:vAlign w:val="bottom"/>
            <w:hideMark/>
          </w:tcPr>
          <w:p w14:paraId="497F3BDD"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Mean</w:t>
            </w:r>
          </w:p>
        </w:tc>
        <w:tc>
          <w:tcPr>
            <w:tcW w:w="1094" w:type="dxa"/>
            <w:tcBorders>
              <w:top w:val="nil"/>
              <w:left w:val="nil"/>
              <w:bottom w:val="single" w:sz="4" w:space="0" w:color="auto"/>
              <w:right w:val="nil"/>
            </w:tcBorders>
            <w:shd w:val="clear" w:color="auto" w:fill="auto"/>
            <w:noWrap/>
            <w:vAlign w:val="bottom"/>
            <w:hideMark/>
          </w:tcPr>
          <w:p w14:paraId="31285C7C"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SD</w:t>
            </w:r>
          </w:p>
        </w:tc>
        <w:tc>
          <w:tcPr>
            <w:tcW w:w="190" w:type="dxa"/>
            <w:tcBorders>
              <w:top w:val="nil"/>
              <w:left w:val="nil"/>
              <w:bottom w:val="single" w:sz="4" w:space="0" w:color="auto"/>
              <w:right w:val="nil"/>
            </w:tcBorders>
            <w:shd w:val="clear" w:color="auto" w:fill="auto"/>
            <w:noWrap/>
            <w:vAlign w:val="bottom"/>
            <w:hideMark/>
          </w:tcPr>
          <w:p w14:paraId="7470DAA9"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 xml:space="preserve">　</w:t>
            </w:r>
          </w:p>
        </w:tc>
        <w:tc>
          <w:tcPr>
            <w:tcW w:w="1323" w:type="dxa"/>
            <w:tcBorders>
              <w:top w:val="nil"/>
              <w:left w:val="nil"/>
              <w:bottom w:val="single" w:sz="4" w:space="0" w:color="auto"/>
              <w:right w:val="nil"/>
            </w:tcBorders>
            <w:shd w:val="clear" w:color="auto" w:fill="auto"/>
            <w:noWrap/>
            <w:vAlign w:val="bottom"/>
            <w:hideMark/>
          </w:tcPr>
          <w:p w14:paraId="2881688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Mean</w:t>
            </w:r>
          </w:p>
        </w:tc>
        <w:tc>
          <w:tcPr>
            <w:tcW w:w="1094" w:type="dxa"/>
            <w:tcBorders>
              <w:top w:val="nil"/>
              <w:left w:val="nil"/>
              <w:bottom w:val="single" w:sz="4" w:space="0" w:color="auto"/>
              <w:right w:val="nil"/>
            </w:tcBorders>
            <w:shd w:val="clear" w:color="auto" w:fill="auto"/>
            <w:noWrap/>
            <w:vAlign w:val="bottom"/>
            <w:hideMark/>
          </w:tcPr>
          <w:p w14:paraId="0793C28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SD</w:t>
            </w:r>
          </w:p>
        </w:tc>
      </w:tr>
      <w:tr w:rsidR="000E49B7" w:rsidRPr="000E49B7" w14:paraId="5AA0F470" w14:textId="77777777" w:rsidTr="000E49B7">
        <w:trPr>
          <w:trHeight w:val="330"/>
        </w:trPr>
        <w:tc>
          <w:tcPr>
            <w:tcW w:w="3487" w:type="dxa"/>
            <w:tcBorders>
              <w:top w:val="nil"/>
              <w:left w:val="nil"/>
              <w:bottom w:val="nil"/>
              <w:right w:val="nil"/>
            </w:tcBorders>
            <w:shd w:val="clear" w:color="auto" w:fill="auto"/>
            <w:noWrap/>
            <w:vAlign w:val="bottom"/>
            <w:hideMark/>
          </w:tcPr>
          <w:p w14:paraId="08CC3ACF"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1DF8D4A5"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6E026F51"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auto"/>
            <w:noWrap/>
            <w:vAlign w:val="bottom"/>
            <w:hideMark/>
          </w:tcPr>
          <w:p w14:paraId="6E756B29"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299D0419"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07B304D5"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auto"/>
            <w:noWrap/>
            <w:vAlign w:val="bottom"/>
            <w:hideMark/>
          </w:tcPr>
          <w:p w14:paraId="79CD195F"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4C5341FB"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31170663"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auto"/>
            <w:noWrap/>
            <w:vAlign w:val="bottom"/>
            <w:hideMark/>
          </w:tcPr>
          <w:p w14:paraId="5B5CD363"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323" w:type="dxa"/>
            <w:tcBorders>
              <w:top w:val="nil"/>
              <w:left w:val="nil"/>
              <w:bottom w:val="nil"/>
              <w:right w:val="nil"/>
            </w:tcBorders>
            <w:shd w:val="clear" w:color="auto" w:fill="auto"/>
            <w:noWrap/>
            <w:vAlign w:val="bottom"/>
            <w:hideMark/>
          </w:tcPr>
          <w:p w14:paraId="13266B7D"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43F64AD0"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5F02C5F5" w14:textId="77777777" w:rsidTr="000E49B7">
        <w:trPr>
          <w:trHeight w:val="330"/>
        </w:trPr>
        <w:tc>
          <w:tcPr>
            <w:tcW w:w="3487" w:type="dxa"/>
            <w:tcBorders>
              <w:top w:val="nil"/>
              <w:left w:val="nil"/>
              <w:bottom w:val="nil"/>
              <w:right w:val="nil"/>
            </w:tcBorders>
            <w:shd w:val="clear" w:color="auto" w:fill="auto"/>
            <w:noWrap/>
            <w:vAlign w:val="bottom"/>
            <w:hideMark/>
          </w:tcPr>
          <w:p w14:paraId="6BCE5596"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Log Annual Wage</w:t>
            </w:r>
          </w:p>
        </w:tc>
        <w:tc>
          <w:tcPr>
            <w:tcW w:w="1323" w:type="dxa"/>
            <w:tcBorders>
              <w:top w:val="nil"/>
              <w:left w:val="nil"/>
              <w:bottom w:val="nil"/>
              <w:right w:val="nil"/>
            </w:tcBorders>
            <w:shd w:val="clear" w:color="auto" w:fill="auto"/>
            <w:noWrap/>
            <w:vAlign w:val="bottom"/>
            <w:hideMark/>
          </w:tcPr>
          <w:p w14:paraId="65B640B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10.674</w:t>
            </w:r>
          </w:p>
        </w:tc>
        <w:tc>
          <w:tcPr>
            <w:tcW w:w="1094" w:type="dxa"/>
            <w:tcBorders>
              <w:top w:val="nil"/>
              <w:left w:val="nil"/>
              <w:bottom w:val="nil"/>
              <w:right w:val="nil"/>
            </w:tcBorders>
            <w:shd w:val="clear" w:color="auto" w:fill="auto"/>
            <w:noWrap/>
            <w:vAlign w:val="bottom"/>
            <w:hideMark/>
          </w:tcPr>
          <w:p w14:paraId="1BDDBBF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0.877</w:t>
            </w:r>
          </w:p>
        </w:tc>
        <w:tc>
          <w:tcPr>
            <w:tcW w:w="190" w:type="dxa"/>
            <w:tcBorders>
              <w:top w:val="nil"/>
              <w:left w:val="nil"/>
              <w:bottom w:val="nil"/>
              <w:right w:val="nil"/>
            </w:tcBorders>
            <w:shd w:val="clear" w:color="auto" w:fill="auto"/>
            <w:noWrap/>
            <w:vAlign w:val="bottom"/>
            <w:hideMark/>
          </w:tcPr>
          <w:p w14:paraId="2480ECDE"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010BB6FA"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10.587</w:t>
            </w:r>
          </w:p>
        </w:tc>
        <w:tc>
          <w:tcPr>
            <w:tcW w:w="1094" w:type="dxa"/>
            <w:tcBorders>
              <w:top w:val="nil"/>
              <w:left w:val="nil"/>
              <w:bottom w:val="nil"/>
              <w:right w:val="nil"/>
            </w:tcBorders>
            <w:shd w:val="clear" w:color="auto" w:fill="auto"/>
            <w:noWrap/>
            <w:vAlign w:val="bottom"/>
            <w:hideMark/>
          </w:tcPr>
          <w:p w14:paraId="39773C62"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0.855</w:t>
            </w:r>
          </w:p>
        </w:tc>
        <w:tc>
          <w:tcPr>
            <w:tcW w:w="190" w:type="dxa"/>
            <w:tcBorders>
              <w:top w:val="nil"/>
              <w:left w:val="nil"/>
              <w:bottom w:val="nil"/>
              <w:right w:val="nil"/>
            </w:tcBorders>
            <w:shd w:val="clear" w:color="auto" w:fill="auto"/>
            <w:noWrap/>
            <w:vAlign w:val="bottom"/>
            <w:hideMark/>
          </w:tcPr>
          <w:p w14:paraId="2E5451D9"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73D4B364"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11.086</w:t>
            </w:r>
          </w:p>
        </w:tc>
        <w:tc>
          <w:tcPr>
            <w:tcW w:w="1094" w:type="dxa"/>
            <w:tcBorders>
              <w:top w:val="nil"/>
              <w:left w:val="nil"/>
              <w:bottom w:val="nil"/>
              <w:right w:val="nil"/>
            </w:tcBorders>
            <w:shd w:val="clear" w:color="auto" w:fill="auto"/>
            <w:noWrap/>
            <w:vAlign w:val="bottom"/>
            <w:hideMark/>
          </w:tcPr>
          <w:p w14:paraId="41F3010F"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0.861</w:t>
            </w:r>
          </w:p>
        </w:tc>
        <w:tc>
          <w:tcPr>
            <w:tcW w:w="190" w:type="dxa"/>
            <w:tcBorders>
              <w:top w:val="nil"/>
              <w:left w:val="nil"/>
              <w:bottom w:val="nil"/>
              <w:right w:val="nil"/>
            </w:tcBorders>
            <w:shd w:val="clear" w:color="auto" w:fill="auto"/>
            <w:noWrap/>
            <w:vAlign w:val="bottom"/>
            <w:hideMark/>
          </w:tcPr>
          <w:p w14:paraId="227C6E7F"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1AA7D402"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11.041</w:t>
            </w:r>
          </w:p>
        </w:tc>
        <w:tc>
          <w:tcPr>
            <w:tcW w:w="1094" w:type="dxa"/>
            <w:tcBorders>
              <w:top w:val="nil"/>
              <w:left w:val="nil"/>
              <w:bottom w:val="nil"/>
              <w:right w:val="nil"/>
            </w:tcBorders>
            <w:shd w:val="clear" w:color="auto" w:fill="auto"/>
            <w:noWrap/>
            <w:vAlign w:val="bottom"/>
            <w:hideMark/>
          </w:tcPr>
          <w:p w14:paraId="337D0A59"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0.832</w:t>
            </w:r>
          </w:p>
        </w:tc>
      </w:tr>
      <w:tr w:rsidR="000E49B7" w:rsidRPr="000E49B7" w14:paraId="67A353C9" w14:textId="77777777" w:rsidTr="000E49B7">
        <w:trPr>
          <w:trHeight w:val="330"/>
        </w:trPr>
        <w:tc>
          <w:tcPr>
            <w:tcW w:w="3487" w:type="dxa"/>
            <w:tcBorders>
              <w:top w:val="nil"/>
              <w:left w:val="nil"/>
              <w:bottom w:val="nil"/>
              <w:right w:val="nil"/>
            </w:tcBorders>
            <w:shd w:val="clear" w:color="auto" w:fill="auto"/>
            <w:noWrap/>
            <w:vAlign w:val="bottom"/>
            <w:hideMark/>
          </w:tcPr>
          <w:p w14:paraId="087128BD"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Teacher</w:t>
            </w:r>
          </w:p>
        </w:tc>
        <w:tc>
          <w:tcPr>
            <w:tcW w:w="1323" w:type="dxa"/>
            <w:tcBorders>
              <w:top w:val="nil"/>
              <w:left w:val="nil"/>
              <w:bottom w:val="nil"/>
              <w:right w:val="nil"/>
            </w:tcBorders>
            <w:shd w:val="clear" w:color="auto" w:fill="auto"/>
            <w:noWrap/>
            <w:vAlign w:val="bottom"/>
            <w:hideMark/>
          </w:tcPr>
          <w:p w14:paraId="7834A13D"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0.126</w:t>
            </w:r>
          </w:p>
        </w:tc>
        <w:tc>
          <w:tcPr>
            <w:tcW w:w="1094" w:type="dxa"/>
            <w:tcBorders>
              <w:top w:val="nil"/>
              <w:left w:val="nil"/>
              <w:bottom w:val="nil"/>
              <w:right w:val="nil"/>
            </w:tcBorders>
            <w:shd w:val="clear" w:color="auto" w:fill="auto"/>
            <w:noWrap/>
            <w:vAlign w:val="bottom"/>
            <w:hideMark/>
          </w:tcPr>
          <w:p w14:paraId="161AA569"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0.332</w:t>
            </w:r>
          </w:p>
        </w:tc>
        <w:tc>
          <w:tcPr>
            <w:tcW w:w="190" w:type="dxa"/>
            <w:tcBorders>
              <w:top w:val="nil"/>
              <w:left w:val="nil"/>
              <w:bottom w:val="nil"/>
              <w:right w:val="nil"/>
            </w:tcBorders>
            <w:shd w:val="clear" w:color="auto" w:fill="auto"/>
            <w:noWrap/>
            <w:vAlign w:val="bottom"/>
            <w:hideMark/>
          </w:tcPr>
          <w:p w14:paraId="1748778D"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521F1DDC"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0.183</w:t>
            </w:r>
          </w:p>
        </w:tc>
        <w:tc>
          <w:tcPr>
            <w:tcW w:w="1094" w:type="dxa"/>
            <w:tcBorders>
              <w:top w:val="nil"/>
              <w:left w:val="nil"/>
              <w:bottom w:val="nil"/>
              <w:right w:val="nil"/>
            </w:tcBorders>
            <w:shd w:val="clear" w:color="auto" w:fill="auto"/>
            <w:noWrap/>
            <w:vAlign w:val="bottom"/>
            <w:hideMark/>
          </w:tcPr>
          <w:p w14:paraId="0EC95F4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0.386</w:t>
            </w:r>
          </w:p>
        </w:tc>
        <w:tc>
          <w:tcPr>
            <w:tcW w:w="190" w:type="dxa"/>
            <w:tcBorders>
              <w:top w:val="nil"/>
              <w:left w:val="nil"/>
              <w:bottom w:val="nil"/>
              <w:right w:val="nil"/>
            </w:tcBorders>
            <w:shd w:val="clear" w:color="auto" w:fill="auto"/>
            <w:noWrap/>
            <w:vAlign w:val="bottom"/>
            <w:hideMark/>
          </w:tcPr>
          <w:p w14:paraId="5E5834C0"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78EC986A"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0.046</w:t>
            </w:r>
          </w:p>
        </w:tc>
        <w:tc>
          <w:tcPr>
            <w:tcW w:w="1094" w:type="dxa"/>
            <w:tcBorders>
              <w:top w:val="nil"/>
              <w:left w:val="nil"/>
              <w:bottom w:val="nil"/>
              <w:right w:val="nil"/>
            </w:tcBorders>
            <w:shd w:val="clear" w:color="auto" w:fill="auto"/>
            <w:noWrap/>
            <w:vAlign w:val="bottom"/>
            <w:hideMark/>
          </w:tcPr>
          <w:p w14:paraId="27A02594"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0.210</w:t>
            </w:r>
          </w:p>
        </w:tc>
        <w:tc>
          <w:tcPr>
            <w:tcW w:w="190" w:type="dxa"/>
            <w:tcBorders>
              <w:top w:val="nil"/>
              <w:left w:val="nil"/>
              <w:bottom w:val="nil"/>
              <w:right w:val="nil"/>
            </w:tcBorders>
            <w:shd w:val="clear" w:color="auto" w:fill="auto"/>
            <w:noWrap/>
            <w:vAlign w:val="bottom"/>
            <w:hideMark/>
          </w:tcPr>
          <w:p w14:paraId="45CE5709"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17EDDDEC"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0.055</w:t>
            </w:r>
          </w:p>
        </w:tc>
        <w:tc>
          <w:tcPr>
            <w:tcW w:w="1094" w:type="dxa"/>
            <w:tcBorders>
              <w:top w:val="nil"/>
              <w:left w:val="nil"/>
              <w:bottom w:val="nil"/>
              <w:right w:val="nil"/>
            </w:tcBorders>
            <w:shd w:val="clear" w:color="auto" w:fill="auto"/>
            <w:noWrap/>
            <w:vAlign w:val="bottom"/>
            <w:hideMark/>
          </w:tcPr>
          <w:p w14:paraId="1B675E8F"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0.227</w:t>
            </w:r>
          </w:p>
        </w:tc>
      </w:tr>
      <w:tr w:rsidR="000E49B7" w:rsidRPr="000E49B7" w14:paraId="5F97A952" w14:textId="77777777" w:rsidTr="000E49B7">
        <w:trPr>
          <w:trHeight w:val="330"/>
        </w:trPr>
        <w:tc>
          <w:tcPr>
            <w:tcW w:w="3487" w:type="dxa"/>
            <w:tcBorders>
              <w:top w:val="nil"/>
              <w:left w:val="nil"/>
              <w:bottom w:val="nil"/>
              <w:right w:val="nil"/>
            </w:tcBorders>
            <w:shd w:val="clear" w:color="auto" w:fill="auto"/>
            <w:noWrap/>
            <w:vAlign w:val="bottom"/>
            <w:hideMark/>
          </w:tcPr>
          <w:p w14:paraId="7FD23CED"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STEM</w:t>
            </w:r>
          </w:p>
        </w:tc>
        <w:tc>
          <w:tcPr>
            <w:tcW w:w="1323" w:type="dxa"/>
            <w:tcBorders>
              <w:top w:val="nil"/>
              <w:left w:val="nil"/>
              <w:bottom w:val="nil"/>
              <w:right w:val="nil"/>
            </w:tcBorders>
            <w:shd w:val="clear" w:color="auto" w:fill="auto"/>
            <w:noWrap/>
            <w:vAlign w:val="bottom"/>
            <w:hideMark/>
          </w:tcPr>
          <w:p w14:paraId="3F785A6A"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0.167</w:t>
            </w:r>
          </w:p>
        </w:tc>
        <w:tc>
          <w:tcPr>
            <w:tcW w:w="1094" w:type="dxa"/>
            <w:tcBorders>
              <w:top w:val="nil"/>
              <w:left w:val="nil"/>
              <w:bottom w:val="nil"/>
              <w:right w:val="nil"/>
            </w:tcBorders>
            <w:shd w:val="clear" w:color="auto" w:fill="auto"/>
            <w:noWrap/>
            <w:vAlign w:val="bottom"/>
            <w:hideMark/>
          </w:tcPr>
          <w:p w14:paraId="07317A5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0.373</w:t>
            </w:r>
          </w:p>
        </w:tc>
        <w:tc>
          <w:tcPr>
            <w:tcW w:w="190" w:type="dxa"/>
            <w:tcBorders>
              <w:top w:val="nil"/>
              <w:left w:val="nil"/>
              <w:bottom w:val="nil"/>
              <w:right w:val="nil"/>
            </w:tcBorders>
            <w:shd w:val="clear" w:color="auto" w:fill="auto"/>
            <w:noWrap/>
            <w:vAlign w:val="bottom"/>
            <w:hideMark/>
          </w:tcPr>
          <w:p w14:paraId="102F0951"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77851441"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0.16</w:t>
            </w:r>
          </w:p>
        </w:tc>
        <w:tc>
          <w:tcPr>
            <w:tcW w:w="1094" w:type="dxa"/>
            <w:tcBorders>
              <w:top w:val="nil"/>
              <w:left w:val="nil"/>
              <w:bottom w:val="nil"/>
              <w:right w:val="nil"/>
            </w:tcBorders>
            <w:shd w:val="clear" w:color="auto" w:fill="auto"/>
            <w:noWrap/>
            <w:vAlign w:val="bottom"/>
            <w:hideMark/>
          </w:tcPr>
          <w:p w14:paraId="47670BC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0.367</w:t>
            </w:r>
          </w:p>
        </w:tc>
        <w:tc>
          <w:tcPr>
            <w:tcW w:w="190" w:type="dxa"/>
            <w:tcBorders>
              <w:top w:val="nil"/>
              <w:left w:val="nil"/>
              <w:bottom w:val="nil"/>
              <w:right w:val="nil"/>
            </w:tcBorders>
            <w:shd w:val="clear" w:color="auto" w:fill="auto"/>
            <w:noWrap/>
            <w:vAlign w:val="bottom"/>
            <w:hideMark/>
          </w:tcPr>
          <w:p w14:paraId="573BCF65"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2C904A6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0.37</w:t>
            </w:r>
          </w:p>
        </w:tc>
        <w:tc>
          <w:tcPr>
            <w:tcW w:w="1094" w:type="dxa"/>
            <w:tcBorders>
              <w:top w:val="nil"/>
              <w:left w:val="nil"/>
              <w:bottom w:val="nil"/>
              <w:right w:val="nil"/>
            </w:tcBorders>
            <w:shd w:val="clear" w:color="auto" w:fill="auto"/>
            <w:noWrap/>
            <w:vAlign w:val="bottom"/>
            <w:hideMark/>
          </w:tcPr>
          <w:p w14:paraId="368437A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0.483</w:t>
            </w:r>
          </w:p>
        </w:tc>
        <w:tc>
          <w:tcPr>
            <w:tcW w:w="190" w:type="dxa"/>
            <w:tcBorders>
              <w:top w:val="nil"/>
              <w:left w:val="nil"/>
              <w:bottom w:val="nil"/>
              <w:right w:val="nil"/>
            </w:tcBorders>
            <w:shd w:val="clear" w:color="auto" w:fill="auto"/>
            <w:noWrap/>
            <w:vAlign w:val="bottom"/>
            <w:hideMark/>
          </w:tcPr>
          <w:p w14:paraId="0957C568"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073CE20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0.366</w:t>
            </w:r>
          </w:p>
        </w:tc>
        <w:tc>
          <w:tcPr>
            <w:tcW w:w="1094" w:type="dxa"/>
            <w:tcBorders>
              <w:top w:val="nil"/>
              <w:left w:val="nil"/>
              <w:bottom w:val="nil"/>
              <w:right w:val="nil"/>
            </w:tcBorders>
            <w:shd w:val="clear" w:color="auto" w:fill="auto"/>
            <w:noWrap/>
            <w:vAlign w:val="bottom"/>
            <w:hideMark/>
          </w:tcPr>
          <w:p w14:paraId="45B8DA3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0.482</w:t>
            </w:r>
          </w:p>
        </w:tc>
      </w:tr>
      <w:tr w:rsidR="000E49B7" w:rsidRPr="000E49B7" w14:paraId="590E63BC" w14:textId="77777777" w:rsidTr="000E49B7">
        <w:trPr>
          <w:trHeight w:val="330"/>
        </w:trPr>
        <w:tc>
          <w:tcPr>
            <w:tcW w:w="3487" w:type="dxa"/>
            <w:tcBorders>
              <w:top w:val="nil"/>
              <w:left w:val="nil"/>
              <w:bottom w:val="nil"/>
              <w:right w:val="nil"/>
            </w:tcBorders>
            <w:shd w:val="clear" w:color="auto" w:fill="auto"/>
            <w:noWrap/>
            <w:vAlign w:val="bottom"/>
            <w:hideMark/>
          </w:tcPr>
          <w:p w14:paraId="5847A3FA"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Bachelor’s Degree</w:t>
            </w:r>
          </w:p>
        </w:tc>
        <w:tc>
          <w:tcPr>
            <w:tcW w:w="1323" w:type="dxa"/>
            <w:tcBorders>
              <w:top w:val="nil"/>
              <w:left w:val="nil"/>
              <w:bottom w:val="nil"/>
              <w:right w:val="nil"/>
            </w:tcBorders>
            <w:shd w:val="clear" w:color="auto" w:fill="auto"/>
            <w:noWrap/>
            <w:vAlign w:val="bottom"/>
            <w:hideMark/>
          </w:tcPr>
          <w:p w14:paraId="4F6A8AF5"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0.637</w:t>
            </w:r>
          </w:p>
        </w:tc>
        <w:tc>
          <w:tcPr>
            <w:tcW w:w="1094" w:type="dxa"/>
            <w:tcBorders>
              <w:top w:val="nil"/>
              <w:left w:val="nil"/>
              <w:bottom w:val="nil"/>
              <w:right w:val="nil"/>
            </w:tcBorders>
            <w:shd w:val="clear" w:color="auto" w:fill="auto"/>
            <w:noWrap/>
            <w:vAlign w:val="bottom"/>
            <w:hideMark/>
          </w:tcPr>
          <w:p w14:paraId="4561AA60"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0.481</w:t>
            </w:r>
          </w:p>
        </w:tc>
        <w:tc>
          <w:tcPr>
            <w:tcW w:w="190" w:type="dxa"/>
            <w:tcBorders>
              <w:top w:val="nil"/>
              <w:left w:val="nil"/>
              <w:bottom w:val="nil"/>
              <w:right w:val="nil"/>
            </w:tcBorders>
            <w:shd w:val="clear" w:color="auto" w:fill="auto"/>
            <w:noWrap/>
            <w:vAlign w:val="bottom"/>
            <w:hideMark/>
          </w:tcPr>
          <w:p w14:paraId="4ED208C1"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6AA6B2D2"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0.659</w:t>
            </w:r>
          </w:p>
        </w:tc>
        <w:tc>
          <w:tcPr>
            <w:tcW w:w="1094" w:type="dxa"/>
            <w:tcBorders>
              <w:top w:val="nil"/>
              <w:left w:val="nil"/>
              <w:bottom w:val="nil"/>
              <w:right w:val="nil"/>
            </w:tcBorders>
            <w:shd w:val="clear" w:color="auto" w:fill="auto"/>
            <w:noWrap/>
            <w:vAlign w:val="bottom"/>
            <w:hideMark/>
          </w:tcPr>
          <w:p w14:paraId="182712E9"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0.474</w:t>
            </w:r>
          </w:p>
        </w:tc>
        <w:tc>
          <w:tcPr>
            <w:tcW w:w="190" w:type="dxa"/>
            <w:tcBorders>
              <w:top w:val="nil"/>
              <w:left w:val="nil"/>
              <w:bottom w:val="nil"/>
              <w:right w:val="nil"/>
            </w:tcBorders>
            <w:shd w:val="clear" w:color="auto" w:fill="auto"/>
            <w:noWrap/>
            <w:vAlign w:val="bottom"/>
            <w:hideMark/>
          </w:tcPr>
          <w:p w14:paraId="2E0D2859"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49D19E8C"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0.653</w:t>
            </w:r>
          </w:p>
        </w:tc>
        <w:tc>
          <w:tcPr>
            <w:tcW w:w="1094" w:type="dxa"/>
            <w:tcBorders>
              <w:top w:val="nil"/>
              <w:left w:val="nil"/>
              <w:bottom w:val="nil"/>
              <w:right w:val="nil"/>
            </w:tcBorders>
            <w:shd w:val="clear" w:color="auto" w:fill="auto"/>
            <w:noWrap/>
            <w:vAlign w:val="bottom"/>
            <w:hideMark/>
          </w:tcPr>
          <w:p w14:paraId="09BC2DE4"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0.476</w:t>
            </w:r>
          </w:p>
        </w:tc>
        <w:tc>
          <w:tcPr>
            <w:tcW w:w="190" w:type="dxa"/>
            <w:tcBorders>
              <w:top w:val="nil"/>
              <w:left w:val="nil"/>
              <w:bottom w:val="nil"/>
              <w:right w:val="nil"/>
            </w:tcBorders>
            <w:shd w:val="clear" w:color="auto" w:fill="auto"/>
            <w:noWrap/>
            <w:vAlign w:val="bottom"/>
            <w:hideMark/>
          </w:tcPr>
          <w:p w14:paraId="13392CD1"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13790F1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0.678</w:t>
            </w:r>
          </w:p>
        </w:tc>
        <w:tc>
          <w:tcPr>
            <w:tcW w:w="1094" w:type="dxa"/>
            <w:tcBorders>
              <w:top w:val="nil"/>
              <w:left w:val="nil"/>
              <w:bottom w:val="nil"/>
              <w:right w:val="nil"/>
            </w:tcBorders>
            <w:shd w:val="clear" w:color="auto" w:fill="auto"/>
            <w:noWrap/>
            <w:vAlign w:val="bottom"/>
            <w:hideMark/>
          </w:tcPr>
          <w:p w14:paraId="2645A66D"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0.467</w:t>
            </w:r>
          </w:p>
        </w:tc>
      </w:tr>
      <w:tr w:rsidR="000E49B7" w:rsidRPr="000E49B7" w14:paraId="725AC126" w14:textId="77777777" w:rsidTr="000E49B7">
        <w:trPr>
          <w:trHeight w:val="330"/>
        </w:trPr>
        <w:tc>
          <w:tcPr>
            <w:tcW w:w="3487" w:type="dxa"/>
            <w:tcBorders>
              <w:top w:val="nil"/>
              <w:left w:val="nil"/>
              <w:bottom w:val="nil"/>
              <w:right w:val="nil"/>
            </w:tcBorders>
            <w:shd w:val="clear" w:color="auto" w:fill="auto"/>
            <w:noWrap/>
            <w:vAlign w:val="bottom"/>
            <w:hideMark/>
          </w:tcPr>
          <w:p w14:paraId="18150FB9"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Advanced Degree</w:t>
            </w:r>
          </w:p>
        </w:tc>
        <w:tc>
          <w:tcPr>
            <w:tcW w:w="1323" w:type="dxa"/>
            <w:tcBorders>
              <w:top w:val="nil"/>
              <w:left w:val="nil"/>
              <w:bottom w:val="nil"/>
              <w:right w:val="nil"/>
            </w:tcBorders>
            <w:shd w:val="clear" w:color="auto" w:fill="auto"/>
            <w:noWrap/>
            <w:vAlign w:val="bottom"/>
            <w:hideMark/>
          </w:tcPr>
          <w:p w14:paraId="7B08D950"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0.363</w:t>
            </w:r>
          </w:p>
        </w:tc>
        <w:tc>
          <w:tcPr>
            <w:tcW w:w="1094" w:type="dxa"/>
            <w:tcBorders>
              <w:top w:val="nil"/>
              <w:left w:val="nil"/>
              <w:bottom w:val="nil"/>
              <w:right w:val="nil"/>
            </w:tcBorders>
            <w:shd w:val="clear" w:color="auto" w:fill="auto"/>
            <w:noWrap/>
            <w:vAlign w:val="bottom"/>
            <w:hideMark/>
          </w:tcPr>
          <w:p w14:paraId="1D85B93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0.481</w:t>
            </w:r>
          </w:p>
        </w:tc>
        <w:tc>
          <w:tcPr>
            <w:tcW w:w="190" w:type="dxa"/>
            <w:tcBorders>
              <w:top w:val="nil"/>
              <w:left w:val="nil"/>
              <w:bottom w:val="nil"/>
              <w:right w:val="nil"/>
            </w:tcBorders>
            <w:shd w:val="clear" w:color="auto" w:fill="auto"/>
            <w:noWrap/>
            <w:vAlign w:val="bottom"/>
            <w:hideMark/>
          </w:tcPr>
          <w:p w14:paraId="2E2037A5"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250390A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0.341</w:t>
            </w:r>
          </w:p>
        </w:tc>
        <w:tc>
          <w:tcPr>
            <w:tcW w:w="1094" w:type="dxa"/>
            <w:tcBorders>
              <w:top w:val="nil"/>
              <w:left w:val="nil"/>
              <w:bottom w:val="nil"/>
              <w:right w:val="nil"/>
            </w:tcBorders>
            <w:shd w:val="clear" w:color="auto" w:fill="auto"/>
            <w:noWrap/>
            <w:vAlign w:val="bottom"/>
            <w:hideMark/>
          </w:tcPr>
          <w:p w14:paraId="14D13D19"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0.474</w:t>
            </w:r>
          </w:p>
        </w:tc>
        <w:tc>
          <w:tcPr>
            <w:tcW w:w="190" w:type="dxa"/>
            <w:tcBorders>
              <w:top w:val="nil"/>
              <w:left w:val="nil"/>
              <w:bottom w:val="nil"/>
              <w:right w:val="nil"/>
            </w:tcBorders>
            <w:shd w:val="clear" w:color="auto" w:fill="auto"/>
            <w:noWrap/>
            <w:vAlign w:val="bottom"/>
            <w:hideMark/>
          </w:tcPr>
          <w:p w14:paraId="3A21A72C"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38171A94"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0.347</w:t>
            </w:r>
          </w:p>
        </w:tc>
        <w:tc>
          <w:tcPr>
            <w:tcW w:w="1094" w:type="dxa"/>
            <w:tcBorders>
              <w:top w:val="nil"/>
              <w:left w:val="nil"/>
              <w:bottom w:val="nil"/>
              <w:right w:val="nil"/>
            </w:tcBorders>
            <w:shd w:val="clear" w:color="auto" w:fill="auto"/>
            <w:noWrap/>
            <w:vAlign w:val="bottom"/>
            <w:hideMark/>
          </w:tcPr>
          <w:p w14:paraId="69636034"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0.476</w:t>
            </w:r>
          </w:p>
        </w:tc>
        <w:tc>
          <w:tcPr>
            <w:tcW w:w="190" w:type="dxa"/>
            <w:tcBorders>
              <w:top w:val="nil"/>
              <w:left w:val="nil"/>
              <w:bottom w:val="nil"/>
              <w:right w:val="nil"/>
            </w:tcBorders>
            <w:shd w:val="clear" w:color="auto" w:fill="auto"/>
            <w:noWrap/>
            <w:vAlign w:val="bottom"/>
            <w:hideMark/>
          </w:tcPr>
          <w:p w14:paraId="246E8CD3"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401D3DA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0.322</w:t>
            </w:r>
          </w:p>
        </w:tc>
        <w:tc>
          <w:tcPr>
            <w:tcW w:w="1094" w:type="dxa"/>
            <w:tcBorders>
              <w:top w:val="nil"/>
              <w:left w:val="nil"/>
              <w:bottom w:val="nil"/>
              <w:right w:val="nil"/>
            </w:tcBorders>
            <w:shd w:val="clear" w:color="auto" w:fill="auto"/>
            <w:noWrap/>
            <w:vAlign w:val="bottom"/>
            <w:hideMark/>
          </w:tcPr>
          <w:p w14:paraId="3CD27EE4"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0.467</w:t>
            </w:r>
          </w:p>
        </w:tc>
      </w:tr>
      <w:tr w:rsidR="000E49B7" w:rsidRPr="000E49B7" w14:paraId="0C68C286" w14:textId="77777777" w:rsidTr="000E49B7">
        <w:trPr>
          <w:trHeight w:val="330"/>
        </w:trPr>
        <w:tc>
          <w:tcPr>
            <w:tcW w:w="3487" w:type="dxa"/>
            <w:tcBorders>
              <w:top w:val="nil"/>
              <w:left w:val="nil"/>
              <w:bottom w:val="nil"/>
              <w:right w:val="nil"/>
            </w:tcBorders>
            <w:shd w:val="clear" w:color="auto" w:fill="auto"/>
            <w:noWrap/>
            <w:vAlign w:val="bottom"/>
            <w:hideMark/>
          </w:tcPr>
          <w:p w14:paraId="1EB0C438"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Age</w:t>
            </w:r>
          </w:p>
        </w:tc>
        <w:tc>
          <w:tcPr>
            <w:tcW w:w="1323" w:type="dxa"/>
            <w:tcBorders>
              <w:top w:val="nil"/>
              <w:left w:val="nil"/>
              <w:bottom w:val="nil"/>
              <w:right w:val="nil"/>
            </w:tcBorders>
            <w:shd w:val="clear" w:color="auto" w:fill="auto"/>
            <w:noWrap/>
            <w:vAlign w:val="bottom"/>
            <w:hideMark/>
          </w:tcPr>
          <w:p w14:paraId="7E64641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38.309</w:t>
            </w:r>
          </w:p>
        </w:tc>
        <w:tc>
          <w:tcPr>
            <w:tcW w:w="1094" w:type="dxa"/>
            <w:tcBorders>
              <w:top w:val="nil"/>
              <w:left w:val="nil"/>
              <w:bottom w:val="nil"/>
              <w:right w:val="nil"/>
            </w:tcBorders>
            <w:shd w:val="clear" w:color="auto" w:fill="auto"/>
            <w:noWrap/>
            <w:vAlign w:val="bottom"/>
            <w:hideMark/>
          </w:tcPr>
          <w:p w14:paraId="6C60DF0F"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8.610</w:t>
            </w:r>
          </w:p>
        </w:tc>
        <w:tc>
          <w:tcPr>
            <w:tcW w:w="190" w:type="dxa"/>
            <w:tcBorders>
              <w:top w:val="nil"/>
              <w:left w:val="nil"/>
              <w:bottom w:val="nil"/>
              <w:right w:val="nil"/>
            </w:tcBorders>
            <w:shd w:val="clear" w:color="auto" w:fill="auto"/>
            <w:noWrap/>
            <w:vAlign w:val="bottom"/>
            <w:hideMark/>
          </w:tcPr>
          <w:p w14:paraId="5B5A237B"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2C10083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38.325</w:t>
            </w:r>
          </w:p>
        </w:tc>
        <w:tc>
          <w:tcPr>
            <w:tcW w:w="1094" w:type="dxa"/>
            <w:tcBorders>
              <w:top w:val="nil"/>
              <w:left w:val="nil"/>
              <w:bottom w:val="nil"/>
              <w:right w:val="nil"/>
            </w:tcBorders>
            <w:shd w:val="clear" w:color="auto" w:fill="auto"/>
            <w:noWrap/>
            <w:vAlign w:val="bottom"/>
            <w:hideMark/>
          </w:tcPr>
          <w:p w14:paraId="7E17FA59"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8.527</w:t>
            </w:r>
          </w:p>
        </w:tc>
        <w:tc>
          <w:tcPr>
            <w:tcW w:w="190" w:type="dxa"/>
            <w:tcBorders>
              <w:top w:val="nil"/>
              <w:left w:val="nil"/>
              <w:bottom w:val="nil"/>
              <w:right w:val="nil"/>
            </w:tcBorders>
            <w:shd w:val="clear" w:color="auto" w:fill="auto"/>
            <w:noWrap/>
            <w:vAlign w:val="bottom"/>
            <w:hideMark/>
          </w:tcPr>
          <w:p w14:paraId="78EC1666"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142440D1"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38.938</w:t>
            </w:r>
          </w:p>
        </w:tc>
        <w:tc>
          <w:tcPr>
            <w:tcW w:w="1094" w:type="dxa"/>
            <w:tcBorders>
              <w:top w:val="nil"/>
              <w:left w:val="nil"/>
              <w:bottom w:val="nil"/>
              <w:right w:val="nil"/>
            </w:tcBorders>
            <w:shd w:val="clear" w:color="auto" w:fill="auto"/>
            <w:noWrap/>
            <w:vAlign w:val="bottom"/>
            <w:hideMark/>
          </w:tcPr>
          <w:p w14:paraId="4DD74BD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8.520</w:t>
            </w:r>
          </w:p>
        </w:tc>
        <w:tc>
          <w:tcPr>
            <w:tcW w:w="190" w:type="dxa"/>
            <w:tcBorders>
              <w:top w:val="nil"/>
              <w:left w:val="nil"/>
              <w:bottom w:val="nil"/>
              <w:right w:val="nil"/>
            </w:tcBorders>
            <w:shd w:val="clear" w:color="auto" w:fill="auto"/>
            <w:noWrap/>
            <w:vAlign w:val="bottom"/>
            <w:hideMark/>
          </w:tcPr>
          <w:p w14:paraId="578586F7"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3897A85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39.099</w:t>
            </w:r>
          </w:p>
        </w:tc>
        <w:tc>
          <w:tcPr>
            <w:tcW w:w="1094" w:type="dxa"/>
            <w:tcBorders>
              <w:top w:val="nil"/>
              <w:left w:val="nil"/>
              <w:bottom w:val="nil"/>
              <w:right w:val="nil"/>
            </w:tcBorders>
            <w:shd w:val="clear" w:color="auto" w:fill="auto"/>
            <w:noWrap/>
            <w:vAlign w:val="bottom"/>
            <w:hideMark/>
          </w:tcPr>
          <w:p w14:paraId="2D22000D"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8.446</w:t>
            </w:r>
          </w:p>
        </w:tc>
      </w:tr>
      <w:tr w:rsidR="000E49B7" w:rsidRPr="000E49B7" w14:paraId="4B93E6D0" w14:textId="77777777" w:rsidTr="000E49B7">
        <w:trPr>
          <w:trHeight w:val="330"/>
        </w:trPr>
        <w:tc>
          <w:tcPr>
            <w:tcW w:w="3487" w:type="dxa"/>
            <w:tcBorders>
              <w:top w:val="nil"/>
              <w:left w:val="nil"/>
              <w:bottom w:val="nil"/>
              <w:right w:val="nil"/>
            </w:tcBorders>
            <w:shd w:val="clear" w:color="auto" w:fill="auto"/>
            <w:noWrap/>
            <w:vAlign w:val="bottom"/>
            <w:hideMark/>
          </w:tcPr>
          <w:p w14:paraId="29FB5351"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Married</w:t>
            </w:r>
          </w:p>
        </w:tc>
        <w:tc>
          <w:tcPr>
            <w:tcW w:w="1323" w:type="dxa"/>
            <w:tcBorders>
              <w:top w:val="nil"/>
              <w:left w:val="nil"/>
              <w:bottom w:val="nil"/>
              <w:right w:val="nil"/>
            </w:tcBorders>
            <w:shd w:val="clear" w:color="auto" w:fill="auto"/>
            <w:noWrap/>
            <w:vAlign w:val="bottom"/>
            <w:hideMark/>
          </w:tcPr>
          <w:p w14:paraId="29B80C9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0.606</w:t>
            </w:r>
          </w:p>
        </w:tc>
        <w:tc>
          <w:tcPr>
            <w:tcW w:w="1094" w:type="dxa"/>
            <w:tcBorders>
              <w:top w:val="nil"/>
              <w:left w:val="nil"/>
              <w:bottom w:val="nil"/>
              <w:right w:val="nil"/>
            </w:tcBorders>
            <w:shd w:val="clear" w:color="auto" w:fill="auto"/>
            <w:noWrap/>
            <w:vAlign w:val="bottom"/>
            <w:hideMark/>
          </w:tcPr>
          <w:p w14:paraId="14C7BF3F"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0.489</w:t>
            </w:r>
          </w:p>
        </w:tc>
        <w:tc>
          <w:tcPr>
            <w:tcW w:w="190" w:type="dxa"/>
            <w:tcBorders>
              <w:top w:val="nil"/>
              <w:left w:val="nil"/>
              <w:bottom w:val="nil"/>
              <w:right w:val="nil"/>
            </w:tcBorders>
            <w:shd w:val="clear" w:color="auto" w:fill="auto"/>
            <w:noWrap/>
            <w:vAlign w:val="bottom"/>
            <w:hideMark/>
          </w:tcPr>
          <w:p w14:paraId="4E0084D0"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04F410DC"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0.626</w:t>
            </w:r>
          </w:p>
        </w:tc>
        <w:tc>
          <w:tcPr>
            <w:tcW w:w="1094" w:type="dxa"/>
            <w:tcBorders>
              <w:top w:val="nil"/>
              <w:left w:val="nil"/>
              <w:bottom w:val="nil"/>
              <w:right w:val="nil"/>
            </w:tcBorders>
            <w:shd w:val="clear" w:color="auto" w:fill="auto"/>
            <w:noWrap/>
            <w:vAlign w:val="bottom"/>
            <w:hideMark/>
          </w:tcPr>
          <w:p w14:paraId="22376D9D"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0.484</w:t>
            </w:r>
          </w:p>
        </w:tc>
        <w:tc>
          <w:tcPr>
            <w:tcW w:w="190" w:type="dxa"/>
            <w:tcBorders>
              <w:top w:val="nil"/>
              <w:left w:val="nil"/>
              <w:bottom w:val="nil"/>
              <w:right w:val="nil"/>
            </w:tcBorders>
            <w:shd w:val="clear" w:color="auto" w:fill="auto"/>
            <w:noWrap/>
            <w:vAlign w:val="bottom"/>
            <w:hideMark/>
          </w:tcPr>
          <w:p w14:paraId="4374E186"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75FCA21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0.66</w:t>
            </w:r>
          </w:p>
        </w:tc>
        <w:tc>
          <w:tcPr>
            <w:tcW w:w="1094" w:type="dxa"/>
            <w:tcBorders>
              <w:top w:val="nil"/>
              <w:left w:val="nil"/>
              <w:bottom w:val="nil"/>
              <w:right w:val="nil"/>
            </w:tcBorders>
            <w:shd w:val="clear" w:color="auto" w:fill="auto"/>
            <w:noWrap/>
            <w:vAlign w:val="bottom"/>
            <w:hideMark/>
          </w:tcPr>
          <w:p w14:paraId="77E2AF4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0.474</w:t>
            </w:r>
          </w:p>
        </w:tc>
        <w:tc>
          <w:tcPr>
            <w:tcW w:w="190" w:type="dxa"/>
            <w:tcBorders>
              <w:top w:val="nil"/>
              <w:left w:val="nil"/>
              <w:bottom w:val="nil"/>
              <w:right w:val="nil"/>
            </w:tcBorders>
            <w:shd w:val="clear" w:color="auto" w:fill="auto"/>
            <w:noWrap/>
            <w:vAlign w:val="bottom"/>
            <w:hideMark/>
          </w:tcPr>
          <w:p w14:paraId="4E6B4B13"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052C03BA"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0.699</w:t>
            </w:r>
          </w:p>
        </w:tc>
        <w:tc>
          <w:tcPr>
            <w:tcW w:w="1094" w:type="dxa"/>
            <w:tcBorders>
              <w:top w:val="nil"/>
              <w:left w:val="nil"/>
              <w:bottom w:val="nil"/>
              <w:right w:val="nil"/>
            </w:tcBorders>
            <w:shd w:val="clear" w:color="auto" w:fill="auto"/>
            <w:noWrap/>
            <w:vAlign w:val="bottom"/>
            <w:hideMark/>
          </w:tcPr>
          <w:p w14:paraId="0497B8A9"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0.459</w:t>
            </w:r>
          </w:p>
        </w:tc>
      </w:tr>
      <w:tr w:rsidR="000E49B7" w:rsidRPr="000E49B7" w14:paraId="649D1A33" w14:textId="77777777" w:rsidTr="000E49B7">
        <w:trPr>
          <w:trHeight w:val="330"/>
        </w:trPr>
        <w:tc>
          <w:tcPr>
            <w:tcW w:w="3487" w:type="dxa"/>
            <w:tcBorders>
              <w:top w:val="nil"/>
              <w:left w:val="nil"/>
              <w:bottom w:val="nil"/>
              <w:right w:val="nil"/>
            </w:tcBorders>
            <w:shd w:val="clear" w:color="auto" w:fill="auto"/>
            <w:noWrap/>
            <w:vAlign w:val="bottom"/>
            <w:hideMark/>
          </w:tcPr>
          <w:p w14:paraId="040A94FB"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White</w:t>
            </w:r>
          </w:p>
        </w:tc>
        <w:tc>
          <w:tcPr>
            <w:tcW w:w="1323" w:type="dxa"/>
            <w:tcBorders>
              <w:top w:val="nil"/>
              <w:left w:val="nil"/>
              <w:bottom w:val="nil"/>
              <w:right w:val="nil"/>
            </w:tcBorders>
            <w:shd w:val="clear" w:color="auto" w:fill="auto"/>
            <w:noWrap/>
            <w:vAlign w:val="bottom"/>
            <w:hideMark/>
          </w:tcPr>
          <w:p w14:paraId="25020560"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0.722</w:t>
            </w:r>
          </w:p>
        </w:tc>
        <w:tc>
          <w:tcPr>
            <w:tcW w:w="1094" w:type="dxa"/>
            <w:tcBorders>
              <w:top w:val="nil"/>
              <w:left w:val="nil"/>
              <w:bottom w:val="nil"/>
              <w:right w:val="nil"/>
            </w:tcBorders>
            <w:shd w:val="clear" w:color="auto" w:fill="auto"/>
            <w:noWrap/>
            <w:vAlign w:val="bottom"/>
            <w:hideMark/>
          </w:tcPr>
          <w:p w14:paraId="5995037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0.448</w:t>
            </w:r>
          </w:p>
        </w:tc>
        <w:tc>
          <w:tcPr>
            <w:tcW w:w="190" w:type="dxa"/>
            <w:tcBorders>
              <w:top w:val="nil"/>
              <w:left w:val="nil"/>
              <w:bottom w:val="nil"/>
              <w:right w:val="nil"/>
            </w:tcBorders>
            <w:shd w:val="clear" w:color="auto" w:fill="auto"/>
            <w:noWrap/>
            <w:vAlign w:val="bottom"/>
            <w:hideMark/>
          </w:tcPr>
          <w:p w14:paraId="44B228DF"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01D6C18A"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0.719</w:t>
            </w:r>
          </w:p>
        </w:tc>
        <w:tc>
          <w:tcPr>
            <w:tcW w:w="1094" w:type="dxa"/>
            <w:tcBorders>
              <w:top w:val="nil"/>
              <w:left w:val="nil"/>
              <w:bottom w:val="nil"/>
              <w:right w:val="nil"/>
            </w:tcBorders>
            <w:shd w:val="clear" w:color="auto" w:fill="auto"/>
            <w:noWrap/>
            <w:vAlign w:val="bottom"/>
            <w:hideMark/>
          </w:tcPr>
          <w:p w14:paraId="26CB8C66"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0.449</w:t>
            </w:r>
          </w:p>
        </w:tc>
        <w:tc>
          <w:tcPr>
            <w:tcW w:w="190" w:type="dxa"/>
            <w:tcBorders>
              <w:top w:val="nil"/>
              <w:left w:val="nil"/>
              <w:bottom w:val="nil"/>
              <w:right w:val="nil"/>
            </w:tcBorders>
            <w:shd w:val="clear" w:color="auto" w:fill="auto"/>
            <w:noWrap/>
            <w:vAlign w:val="bottom"/>
            <w:hideMark/>
          </w:tcPr>
          <w:p w14:paraId="69D5E08C"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4D14543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0.724</w:t>
            </w:r>
          </w:p>
        </w:tc>
        <w:tc>
          <w:tcPr>
            <w:tcW w:w="1094" w:type="dxa"/>
            <w:tcBorders>
              <w:top w:val="nil"/>
              <w:left w:val="nil"/>
              <w:bottom w:val="nil"/>
              <w:right w:val="nil"/>
            </w:tcBorders>
            <w:shd w:val="clear" w:color="auto" w:fill="auto"/>
            <w:noWrap/>
            <w:vAlign w:val="bottom"/>
            <w:hideMark/>
          </w:tcPr>
          <w:p w14:paraId="1FF0B241"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0.447</w:t>
            </w:r>
          </w:p>
        </w:tc>
        <w:tc>
          <w:tcPr>
            <w:tcW w:w="190" w:type="dxa"/>
            <w:tcBorders>
              <w:top w:val="nil"/>
              <w:left w:val="nil"/>
              <w:bottom w:val="nil"/>
              <w:right w:val="nil"/>
            </w:tcBorders>
            <w:shd w:val="clear" w:color="auto" w:fill="auto"/>
            <w:noWrap/>
            <w:vAlign w:val="bottom"/>
            <w:hideMark/>
          </w:tcPr>
          <w:p w14:paraId="6FF33862"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60C70076"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0.739</w:t>
            </w:r>
          </w:p>
        </w:tc>
        <w:tc>
          <w:tcPr>
            <w:tcW w:w="1094" w:type="dxa"/>
            <w:tcBorders>
              <w:top w:val="nil"/>
              <w:left w:val="nil"/>
              <w:bottom w:val="nil"/>
              <w:right w:val="nil"/>
            </w:tcBorders>
            <w:shd w:val="clear" w:color="auto" w:fill="auto"/>
            <w:noWrap/>
            <w:vAlign w:val="bottom"/>
            <w:hideMark/>
          </w:tcPr>
          <w:p w14:paraId="4D698842"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0.439</w:t>
            </w:r>
          </w:p>
        </w:tc>
      </w:tr>
      <w:tr w:rsidR="000E49B7" w:rsidRPr="000E49B7" w14:paraId="5663C90A" w14:textId="77777777" w:rsidTr="000E49B7">
        <w:trPr>
          <w:trHeight w:val="330"/>
        </w:trPr>
        <w:tc>
          <w:tcPr>
            <w:tcW w:w="3487" w:type="dxa"/>
            <w:tcBorders>
              <w:top w:val="nil"/>
              <w:left w:val="nil"/>
              <w:bottom w:val="nil"/>
              <w:right w:val="nil"/>
            </w:tcBorders>
            <w:shd w:val="clear" w:color="auto" w:fill="auto"/>
            <w:noWrap/>
            <w:vAlign w:val="bottom"/>
            <w:hideMark/>
          </w:tcPr>
          <w:p w14:paraId="7A0308A4"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Hispanic</w:t>
            </w:r>
          </w:p>
        </w:tc>
        <w:tc>
          <w:tcPr>
            <w:tcW w:w="1323" w:type="dxa"/>
            <w:tcBorders>
              <w:top w:val="nil"/>
              <w:left w:val="nil"/>
              <w:bottom w:val="nil"/>
              <w:right w:val="nil"/>
            </w:tcBorders>
            <w:shd w:val="clear" w:color="auto" w:fill="auto"/>
            <w:noWrap/>
            <w:vAlign w:val="bottom"/>
            <w:hideMark/>
          </w:tcPr>
          <w:p w14:paraId="616F6DEB"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0.079</w:t>
            </w:r>
          </w:p>
        </w:tc>
        <w:tc>
          <w:tcPr>
            <w:tcW w:w="1094" w:type="dxa"/>
            <w:tcBorders>
              <w:top w:val="nil"/>
              <w:left w:val="nil"/>
              <w:bottom w:val="nil"/>
              <w:right w:val="nil"/>
            </w:tcBorders>
            <w:shd w:val="clear" w:color="auto" w:fill="auto"/>
            <w:noWrap/>
            <w:vAlign w:val="bottom"/>
            <w:hideMark/>
          </w:tcPr>
          <w:p w14:paraId="0AD8B16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0.270</w:t>
            </w:r>
          </w:p>
        </w:tc>
        <w:tc>
          <w:tcPr>
            <w:tcW w:w="190" w:type="dxa"/>
            <w:tcBorders>
              <w:top w:val="nil"/>
              <w:left w:val="nil"/>
              <w:bottom w:val="nil"/>
              <w:right w:val="nil"/>
            </w:tcBorders>
            <w:shd w:val="clear" w:color="auto" w:fill="auto"/>
            <w:noWrap/>
            <w:vAlign w:val="bottom"/>
            <w:hideMark/>
          </w:tcPr>
          <w:p w14:paraId="361A9EE0"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364DC4C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0.078</w:t>
            </w:r>
          </w:p>
        </w:tc>
        <w:tc>
          <w:tcPr>
            <w:tcW w:w="1094" w:type="dxa"/>
            <w:tcBorders>
              <w:top w:val="nil"/>
              <w:left w:val="nil"/>
              <w:bottom w:val="nil"/>
              <w:right w:val="nil"/>
            </w:tcBorders>
            <w:shd w:val="clear" w:color="auto" w:fill="auto"/>
            <w:noWrap/>
            <w:vAlign w:val="bottom"/>
            <w:hideMark/>
          </w:tcPr>
          <w:p w14:paraId="6082D21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0.268</w:t>
            </w:r>
          </w:p>
        </w:tc>
        <w:tc>
          <w:tcPr>
            <w:tcW w:w="190" w:type="dxa"/>
            <w:tcBorders>
              <w:top w:val="nil"/>
              <w:left w:val="nil"/>
              <w:bottom w:val="nil"/>
              <w:right w:val="nil"/>
            </w:tcBorders>
            <w:shd w:val="clear" w:color="auto" w:fill="auto"/>
            <w:noWrap/>
            <w:vAlign w:val="bottom"/>
            <w:hideMark/>
          </w:tcPr>
          <w:p w14:paraId="15C3C236"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11FE4805"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0.073</w:t>
            </w:r>
          </w:p>
        </w:tc>
        <w:tc>
          <w:tcPr>
            <w:tcW w:w="1094" w:type="dxa"/>
            <w:tcBorders>
              <w:top w:val="nil"/>
              <w:left w:val="nil"/>
              <w:bottom w:val="nil"/>
              <w:right w:val="nil"/>
            </w:tcBorders>
            <w:shd w:val="clear" w:color="auto" w:fill="auto"/>
            <w:noWrap/>
            <w:vAlign w:val="bottom"/>
            <w:hideMark/>
          </w:tcPr>
          <w:p w14:paraId="631D965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0.26</w:t>
            </w:r>
          </w:p>
        </w:tc>
        <w:tc>
          <w:tcPr>
            <w:tcW w:w="190" w:type="dxa"/>
            <w:tcBorders>
              <w:top w:val="nil"/>
              <w:left w:val="nil"/>
              <w:bottom w:val="nil"/>
              <w:right w:val="nil"/>
            </w:tcBorders>
            <w:shd w:val="clear" w:color="auto" w:fill="auto"/>
            <w:noWrap/>
            <w:vAlign w:val="bottom"/>
            <w:hideMark/>
          </w:tcPr>
          <w:p w14:paraId="011DA675"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69878CF9"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0.077</w:t>
            </w:r>
          </w:p>
        </w:tc>
        <w:tc>
          <w:tcPr>
            <w:tcW w:w="1094" w:type="dxa"/>
            <w:tcBorders>
              <w:top w:val="nil"/>
              <w:left w:val="nil"/>
              <w:bottom w:val="nil"/>
              <w:right w:val="nil"/>
            </w:tcBorders>
            <w:shd w:val="clear" w:color="auto" w:fill="auto"/>
            <w:noWrap/>
            <w:vAlign w:val="bottom"/>
            <w:hideMark/>
          </w:tcPr>
          <w:p w14:paraId="10382EB0"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0.267</w:t>
            </w:r>
          </w:p>
        </w:tc>
      </w:tr>
      <w:tr w:rsidR="000E49B7" w:rsidRPr="000E49B7" w14:paraId="33CD3733" w14:textId="77777777" w:rsidTr="000E49B7">
        <w:trPr>
          <w:trHeight w:val="330"/>
        </w:trPr>
        <w:tc>
          <w:tcPr>
            <w:tcW w:w="3487" w:type="dxa"/>
            <w:tcBorders>
              <w:top w:val="nil"/>
              <w:left w:val="nil"/>
              <w:bottom w:val="nil"/>
              <w:right w:val="nil"/>
            </w:tcBorders>
            <w:shd w:val="clear" w:color="auto" w:fill="auto"/>
            <w:noWrap/>
            <w:vAlign w:val="bottom"/>
            <w:hideMark/>
          </w:tcPr>
          <w:p w14:paraId="4D2459D3"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Black</w:t>
            </w:r>
          </w:p>
        </w:tc>
        <w:tc>
          <w:tcPr>
            <w:tcW w:w="1323" w:type="dxa"/>
            <w:tcBorders>
              <w:top w:val="nil"/>
              <w:left w:val="nil"/>
              <w:bottom w:val="nil"/>
              <w:right w:val="nil"/>
            </w:tcBorders>
            <w:shd w:val="clear" w:color="auto" w:fill="auto"/>
            <w:noWrap/>
            <w:vAlign w:val="bottom"/>
            <w:hideMark/>
          </w:tcPr>
          <w:p w14:paraId="0696E1A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0.062</w:t>
            </w:r>
          </w:p>
        </w:tc>
        <w:tc>
          <w:tcPr>
            <w:tcW w:w="1094" w:type="dxa"/>
            <w:tcBorders>
              <w:top w:val="nil"/>
              <w:left w:val="nil"/>
              <w:bottom w:val="nil"/>
              <w:right w:val="nil"/>
            </w:tcBorders>
            <w:shd w:val="clear" w:color="auto" w:fill="auto"/>
            <w:noWrap/>
            <w:vAlign w:val="bottom"/>
            <w:hideMark/>
          </w:tcPr>
          <w:p w14:paraId="655B69A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0.241</w:t>
            </w:r>
          </w:p>
        </w:tc>
        <w:tc>
          <w:tcPr>
            <w:tcW w:w="190" w:type="dxa"/>
            <w:tcBorders>
              <w:top w:val="nil"/>
              <w:left w:val="nil"/>
              <w:bottom w:val="nil"/>
              <w:right w:val="nil"/>
            </w:tcBorders>
            <w:shd w:val="clear" w:color="auto" w:fill="auto"/>
            <w:noWrap/>
            <w:vAlign w:val="bottom"/>
            <w:hideMark/>
          </w:tcPr>
          <w:p w14:paraId="7EF12F63"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05B3F59C"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0.121</w:t>
            </w:r>
          </w:p>
        </w:tc>
        <w:tc>
          <w:tcPr>
            <w:tcW w:w="1094" w:type="dxa"/>
            <w:tcBorders>
              <w:top w:val="nil"/>
              <w:left w:val="nil"/>
              <w:bottom w:val="nil"/>
              <w:right w:val="nil"/>
            </w:tcBorders>
            <w:shd w:val="clear" w:color="auto" w:fill="auto"/>
            <w:noWrap/>
            <w:vAlign w:val="bottom"/>
            <w:hideMark/>
          </w:tcPr>
          <w:p w14:paraId="63E212E6"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0.326</w:t>
            </w:r>
          </w:p>
        </w:tc>
        <w:tc>
          <w:tcPr>
            <w:tcW w:w="190" w:type="dxa"/>
            <w:tcBorders>
              <w:top w:val="nil"/>
              <w:left w:val="nil"/>
              <w:bottom w:val="nil"/>
              <w:right w:val="nil"/>
            </w:tcBorders>
            <w:shd w:val="clear" w:color="auto" w:fill="auto"/>
            <w:noWrap/>
            <w:vAlign w:val="bottom"/>
            <w:hideMark/>
          </w:tcPr>
          <w:p w14:paraId="72FBE85B"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450DCCFD"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0.046</w:t>
            </w:r>
          </w:p>
        </w:tc>
        <w:tc>
          <w:tcPr>
            <w:tcW w:w="1094" w:type="dxa"/>
            <w:tcBorders>
              <w:top w:val="nil"/>
              <w:left w:val="nil"/>
              <w:bottom w:val="nil"/>
              <w:right w:val="nil"/>
            </w:tcBorders>
            <w:shd w:val="clear" w:color="auto" w:fill="auto"/>
            <w:noWrap/>
            <w:vAlign w:val="bottom"/>
            <w:hideMark/>
          </w:tcPr>
          <w:p w14:paraId="3D7DEF56"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0.21</w:t>
            </w:r>
          </w:p>
        </w:tc>
        <w:tc>
          <w:tcPr>
            <w:tcW w:w="190" w:type="dxa"/>
            <w:tcBorders>
              <w:top w:val="nil"/>
              <w:left w:val="nil"/>
              <w:bottom w:val="nil"/>
              <w:right w:val="nil"/>
            </w:tcBorders>
            <w:shd w:val="clear" w:color="auto" w:fill="auto"/>
            <w:noWrap/>
            <w:vAlign w:val="bottom"/>
            <w:hideMark/>
          </w:tcPr>
          <w:p w14:paraId="23537F86"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555003E1"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0.079</w:t>
            </w:r>
          </w:p>
        </w:tc>
        <w:tc>
          <w:tcPr>
            <w:tcW w:w="1094" w:type="dxa"/>
            <w:tcBorders>
              <w:top w:val="nil"/>
              <w:left w:val="nil"/>
              <w:bottom w:val="nil"/>
              <w:right w:val="nil"/>
            </w:tcBorders>
            <w:shd w:val="clear" w:color="auto" w:fill="auto"/>
            <w:noWrap/>
            <w:vAlign w:val="bottom"/>
            <w:hideMark/>
          </w:tcPr>
          <w:p w14:paraId="79B1C486"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0.27</w:t>
            </w:r>
          </w:p>
        </w:tc>
      </w:tr>
      <w:tr w:rsidR="000E49B7" w:rsidRPr="000E49B7" w14:paraId="4AAB1FA1" w14:textId="77777777" w:rsidTr="000E49B7">
        <w:trPr>
          <w:trHeight w:val="330"/>
        </w:trPr>
        <w:tc>
          <w:tcPr>
            <w:tcW w:w="3487" w:type="dxa"/>
            <w:tcBorders>
              <w:top w:val="nil"/>
              <w:left w:val="nil"/>
              <w:bottom w:val="nil"/>
              <w:right w:val="nil"/>
            </w:tcBorders>
            <w:shd w:val="clear" w:color="auto" w:fill="auto"/>
            <w:noWrap/>
            <w:vAlign w:val="bottom"/>
            <w:hideMark/>
          </w:tcPr>
          <w:p w14:paraId="62CB765E"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Other Race</w:t>
            </w:r>
          </w:p>
        </w:tc>
        <w:tc>
          <w:tcPr>
            <w:tcW w:w="1323" w:type="dxa"/>
            <w:tcBorders>
              <w:top w:val="nil"/>
              <w:left w:val="nil"/>
              <w:bottom w:val="nil"/>
              <w:right w:val="nil"/>
            </w:tcBorders>
            <w:shd w:val="clear" w:color="auto" w:fill="auto"/>
            <w:noWrap/>
            <w:vAlign w:val="bottom"/>
            <w:hideMark/>
          </w:tcPr>
          <w:p w14:paraId="3288E1FF"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0.137</w:t>
            </w:r>
          </w:p>
        </w:tc>
        <w:tc>
          <w:tcPr>
            <w:tcW w:w="1094" w:type="dxa"/>
            <w:tcBorders>
              <w:top w:val="nil"/>
              <w:left w:val="nil"/>
              <w:bottom w:val="nil"/>
              <w:right w:val="nil"/>
            </w:tcBorders>
            <w:shd w:val="clear" w:color="auto" w:fill="auto"/>
            <w:noWrap/>
            <w:vAlign w:val="bottom"/>
            <w:hideMark/>
          </w:tcPr>
          <w:p w14:paraId="4852B20D"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0.344</w:t>
            </w:r>
          </w:p>
        </w:tc>
        <w:tc>
          <w:tcPr>
            <w:tcW w:w="190" w:type="dxa"/>
            <w:tcBorders>
              <w:top w:val="nil"/>
              <w:left w:val="nil"/>
              <w:bottom w:val="nil"/>
              <w:right w:val="nil"/>
            </w:tcBorders>
            <w:shd w:val="clear" w:color="auto" w:fill="auto"/>
            <w:noWrap/>
            <w:vAlign w:val="bottom"/>
            <w:hideMark/>
          </w:tcPr>
          <w:p w14:paraId="27858254"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47E58FA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0.082</w:t>
            </w:r>
          </w:p>
        </w:tc>
        <w:tc>
          <w:tcPr>
            <w:tcW w:w="1094" w:type="dxa"/>
            <w:tcBorders>
              <w:top w:val="nil"/>
              <w:left w:val="nil"/>
              <w:bottom w:val="nil"/>
              <w:right w:val="nil"/>
            </w:tcBorders>
            <w:shd w:val="clear" w:color="auto" w:fill="auto"/>
            <w:noWrap/>
            <w:vAlign w:val="bottom"/>
            <w:hideMark/>
          </w:tcPr>
          <w:p w14:paraId="4CC5E4C5"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0.274</w:t>
            </w:r>
          </w:p>
        </w:tc>
        <w:tc>
          <w:tcPr>
            <w:tcW w:w="190" w:type="dxa"/>
            <w:tcBorders>
              <w:top w:val="nil"/>
              <w:left w:val="nil"/>
              <w:bottom w:val="nil"/>
              <w:right w:val="nil"/>
            </w:tcBorders>
            <w:shd w:val="clear" w:color="auto" w:fill="auto"/>
            <w:noWrap/>
            <w:vAlign w:val="bottom"/>
            <w:hideMark/>
          </w:tcPr>
          <w:p w14:paraId="5EE63C3F"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41A21F31"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0.157</w:t>
            </w:r>
          </w:p>
        </w:tc>
        <w:tc>
          <w:tcPr>
            <w:tcW w:w="1094" w:type="dxa"/>
            <w:tcBorders>
              <w:top w:val="nil"/>
              <w:left w:val="nil"/>
              <w:bottom w:val="nil"/>
              <w:right w:val="nil"/>
            </w:tcBorders>
            <w:shd w:val="clear" w:color="auto" w:fill="auto"/>
            <w:noWrap/>
            <w:vAlign w:val="bottom"/>
            <w:hideMark/>
          </w:tcPr>
          <w:p w14:paraId="039380A2"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0.363</w:t>
            </w:r>
          </w:p>
        </w:tc>
        <w:tc>
          <w:tcPr>
            <w:tcW w:w="190" w:type="dxa"/>
            <w:tcBorders>
              <w:top w:val="nil"/>
              <w:left w:val="nil"/>
              <w:bottom w:val="nil"/>
              <w:right w:val="nil"/>
            </w:tcBorders>
            <w:shd w:val="clear" w:color="auto" w:fill="auto"/>
            <w:noWrap/>
            <w:vAlign w:val="bottom"/>
            <w:hideMark/>
          </w:tcPr>
          <w:p w14:paraId="4CBA748F"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28166426"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0.105</w:t>
            </w:r>
          </w:p>
        </w:tc>
        <w:tc>
          <w:tcPr>
            <w:tcW w:w="1094" w:type="dxa"/>
            <w:tcBorders>
              <w:top w:val="nil"/>
              <w:left w:val="nil"/>
              <w:bottom w:val="nil"/>
              <w:right w:val="nil"/>
            </w:tcBorders>
            <w:shd w:val="clear" w:color="auto" w:fill="auto"/>
            <w:noWrap/>
            <w:vAlign w:val="bottom"/>
            <w:hideMark/>
          </w:tcPr>
          <w:p w14:paraId="7E0CC33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0.307</w:t>
            </w:r>
          </w:p>
        </w:tc>
      </w:tr>
      <w:tr w:rsidR="000E49B7" w:rsidRPr="000E49B7" w14:paraId="24B6E78B" w14:textId="77777777" w:rsidTr="000E49B7">
        <w:trPr>
          <w:trHeight w:val="330"/>
        </w:trPr>
        <w:tc>
          <w:tcPr>
            <w:tcW w:w="3487" w:type="dxa"/>
            <w:tcBorders>
              <w:top w:val="nil"/>
              <w:left w:val="nil"/>
              <w:bottom w:val="nil"/>
              <w:right w:val="nil"/>
            </w:tcBorders>
            <w:shd w:val="clear" w:color="auto" w:fill="auto"/>
            <w:noWrap/>
            <w:vAlign w:val="bottom"/>
            <w:hideMark/>
          </w:tcPr>
          <w:p w14:paraId="21E931F1"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No of Children</w:t>
            </w:r>
          </w:p>
        </w:tc>
        <w:tc>
          <w:tcPr>
            <w:tcW w:w="1323" w:type="dxa"/>
            <w:tcBorders>
              <w:top w:val="nil"/>
              <w:left w:val="nil"/>
              <w:bottom w:val="nil"/>
              <w:right w:val="nil"/>
            </w:tcBorders>
            <w:shd w:val="clear" w:color="auto" w:fill="auto"/>
            <w:noWrap/>
            <w:vAlign w:val="bottom"/>
            <w:hideMark/>
          </w:tcPr>
          <w:p w14:paraId="0A2DA4D9"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0.935</w:t>
            </w:r>
          </w:p>
        </w:tc>
        <w:tc>
          <w:tcPr>
            <w:tcW w:w="1094" w:type="dxa"/>
            <w:tcBorders>
              <w:top w:val="nil"/>
              <w:left w:val="nil"/>
              <w:bottom w:val="nil"/>
              <w:right w:val="nil"/>
            </w:tcBorders>
            <w:shd w:val="clear" w:color="auto" w:fill="auto"/>
            <w:noWrap/>
            <w:vAlign w:val="bottom"/>
            <w:hideMark/>
          </w:tcPr>
          <w:p w14:paraId="1419D87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1.084</w:t>
            </w:r>
          </w:p>
        </w:tc>
        <w:tc>
          <w:tcPr>
            <w:tcW w:w="190" w:type="dxa"/>
            <w:tcBorders>
              <w:top w:val="nil"/>
              <w:left w:val="nil"/>
              <w:bottom w:val="nil"/>
              <w:right w:val="nil"/>
            </w:tcBorders>
            <w:shd w:val="clear" w:color="auto" w:fill="auto"/>
            <w:noWrap/>
            <w:vAlign w:val="bottom"/>
            <w:hideMark/>
          </w:tcPr>
          <w:p w14:paraId="3E916F6C"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6C6C4C30"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0.979</w:t>
            </w:r>
          </w:p>
        </w:tc>
        <w:tc>
          <w:tcPr>
            <w:tcW w:w="1094" w:type="dxa"/>
            <w:tcBorders>
              <w:top w:val="nil"/>
              <w:left w:val="nil"/>
              <w:bottom w:val="nil"/>
              <w:right w:val="nil"/>
            </w:tcBorders>
            <w:shd w:val="clear" w:color="auto" w:fill="auto"/>
            <w:noWrap/>
            <w:vAlign w:val="bottom"/>
            <w:hideMark/>
          </w:tcPr>
          <w:p w14:paraId="11B3B1FF"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1.090</w:t>
            </w:r>
          </w:p>
        </w:tc>
        <w:tc>
          <w:tcPr>
            <w:tcW w:w="190" w:type="dxa"/>
            <w:tcBorders>
              <w:top w:val="nil"/>
              <w:left w:val="nil"/>
              <w:bottom w:val="nil"/>
              <w:right w:val="nil"/>
            </w:tcBorders>
            <w:shd w:val="clear" w:color="auto" w:fill="auto"/>
            <w:noWrap/>
            <w:vAlign w:val="bottom"/>
            <w:hideMark/>
          </w:tcPr>
          <w:p w14:paraId="35C02E1F"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28B634BA"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1.002</w:t>
            </w:r>
          </w:p>
        </w:tc>
        <w:tc>
          <w:tcPr>
            <w:tcW w:w="1094" w:type="dxa"/>
            <w:tcBorders>
              <w:top w:val="nil"/>
              <w:left w:val="nil"/>
              <w:bottom w:val="nil"/>
              <w:right w:val="nil"/>
            </w:tcBorders>
            <w:shd w:val="clear" w:color="auto" w:fill="auto"/>
            <w:noWrap/>
            <w:vAlign w:val="bottom"/>
            <w:hideMark/>
          </w:tcPr>
          <w:p w14:paraId="711198C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1.171</w:t>
            </w:r>
          </w:p>
        </w:tc>
        <w:tc>
          <w:tcPr>
            <w:tcW w:w="190" w:type="dxa"/>
            <w:tcBorders>
              <w:top w:val="nil"/>
              <w:left w:val="nil"/>
              <w:bottom w:val="nil"/>
              <w:right w:val="nil"/>
            </w:tcBorders>
            <w:shd w:val="clear" w:color="auto" w:fill="auto"/>
            <w:noWrap/>
            <w:vAlign w:val="bottom"/>
            <w:hideMark/>
          </w:tcPr>
          <w:p w14:paraId="4B1E5ED6"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323" w:type="dxa"/>
            <w:tcBorders>
              <w:top w:val="nil"/>
              <w:left w:val="nil"/>
              <w:bottom w:val="nil"/>
              <w:right w:val="nil"/>
            </w:tcBorders>
            <w:shd w:val="clear" w:color="auto" w:fill="auto"/>
            <w:noWrap/>
            <w:vAlign w:val="bottom"/>
            <w:hideMark/>
          </w:tcPr>
          <w:p w14:paraId="6729041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1.09</w:t>
            </w:r>
          </w:p>
        </w:tc>
        <w:tc>
          <w:tcPr>
            <w:tcW w:w="1094" w:type="dxa"/>
            <w:tcBorders>
              <w:top w:val="nil"/>
              <w:left w:val="nil"/>
              <w:bottom w:val="nil"/>
              <w:right w:val="nil"/>
            </w:tcBorders>
            <w:shd w:val="clear" w:color="auto" w:fill="auto"/>
            <w:noWrap/>
            <w:vAlign w:val="bottom"/>
            <w:hideMark/>
          </w:tcPr>
          <w:p w14:paraId="2B8EEA15"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1.211</w:t>
            </w:r>
          </w:p>
        </w:tc>
      </w:tr>
      <w:tr w:rsidR="000E49B7" w:rsidRPr="000E49B7" w14:paraId="2F74AF85" w14:textId="77777777" w:rsidTr="000E49B7">
        <w:trPr>
          <w:trHeight w:val="330"/>
        </w:trPr>
        <w:tc>
          <w:tcPr>
            <w:tcW w:w="3487" w:type="dxa"/>
            <w:tcBorders>
              <w:top w:val="nil"/>
              <w:left w:val="nil"/>
              <w:bottom w:val="single" w:sz="4" w:space="0" w:color="auto"/>
              <w:right w:val="nil"/>
            </w:tcBorders>
            <w:shd w:val="clear" w:color="auto" w:fill="auto"/>
            <w:noWrap/>
            <w:vAlign w:val="bottom"/>
            <w:hideMark/>
          </w:tcPr>
          <w:p w14:paraId="17DD9704"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N</w:t>
            </w:r>
          </w:p>
        </w:tc>
        <w:tc>
          <w:tcPr>
            <w:tcW w:w="2417" w:type="dxa"/>
            <w:gridSpan w:val="2"/>
            <w:tcBorders>
              <w:top w:val="nil"/>
              <w:left w:val="nil"/>
              <w:bottom w:val="single" w:sz="4" w:space="0" w:color="auto"/>
              <w:right w:val="nil"/>
            </w:tcBorders>
            <w:shd w:val="clear" w:color="auto" w:fill="auto"/>
            <w:noWrap/>
            <w:vAlign w:val="bottom"/>
            <w:hideMark/>
          </w:tcPr>
          <w:p w14:paraId="2AF72DED"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353,250</w:t>
            </w:r>
          </w:p>
        </w:tc>
        <w:tc>
          <w:tcPr>
            <w:tcW w:w="190" w:type="dxa"/>
            <w:tcBorders>
              <w:top w:val="nil"/>
              <w:left w:val="nil"/>
              <w:bottom w:val="single" w:sz="4" w:space="0" w:color="auto"/>
              <w:right w:val="nil"/>
            </w:tcBorders>
            <w:shd w:val="clear" w:color="auto" w:fill="auto"/>
            <w:noWrap/>
            <w:vAlign w:val="bottom"/>
            <w:hideMark/>
          </w:tcPr>
          <w:p w14:paraId="67A99CC9"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 xml:space="preserve">　</w:t>
            </w:r>
          </w:p>
        </w:tc>
        <w:tc>
          <w:tcPr>
            <w:tcW w:w="2417" w:type="dxa"/>
            <w:gridSpan w:val="2"/>
            <w:tcBorders>
              <w:top w:val="nil"/>
              <w:left w:val="nil"/>
              <w:bottom w:val="single" w:sz="4" w:space="0" w:color="auto"/>
              <w:right w:val="nil"/>
            </w:tcBorders>
            <w:shd w:val="clear" w:color="auto" w:fill="auto"/>
            <w:noWrap/>
            <w:vAlign w:val="bottom"/>
            <w:hideMark/>
          </w:tcPr>
          <w:p w14:paraId="70F0B3F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163,938</w:t>
            </w:r>
          </w:p>
        </w:tc>
        <w:tc>
          <w:tcPr>
            <w:tcW w:w="190" w:type="dxa"/>
            <w:tcBorders>
              <w:top w:val="nil"/>
              <w:left w:val="nil"/>
              <w:bottom w:val="single" w:sz="4" w:space="0" w:color="auto"/>
              <w:right w:val="nil"/>
            </w:tcBorders>
            <w:shd w:val="clear" w:color="auto" w:fill="auto"/>
            <w:noWrap/>
            <w:vAlign w:val="bottom"/>
            <w:hideMark/>
          </w:tcPr>
          <w:p w14:paraId="5D360378"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 xml:space="preserve">　</w:t>
            </w:r>
          </w:p>
        </w:tc>
        <w:tc>
          <w:tcPr>
            <w:tcW w:w="2417" w:type="dxa"/>
            <w:gridSpan w:val="2"/>
            <w:tcBorders>
              <w:top w:val="nil"/>
              <w:left w:val="nil"/>
              <w:bottom w:val="single" w:sz="4" w:space="0" w:color="auto"/>
              <w:right w:val="nil"/>
            </w:tcBorders>
            <w:shd w:val="clear" w:color="auto" w:fill="auto"/>
            <w:noWrap/>
            <w:vAlign w:val="bottom"/>
            <w:hideMark/>
          </w:tcPr>
          <w:p w14:paraId="7C2FF785"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312,864</w:t>
            </w:r>
          </w:p>
        </w:tc>
        <w:tc>
          <w:tcPr>
            <w:tcW w:w="190" w:type="dxa"/>
            <w:tcBorders>
              <w:top w:val="nil"/>
              <w:left w:val="nil"/>
              <w:bottom w:val="single" w:sz="4" w:space="0" w:color="auto"/>
              <w:right w:val="nil"/>
            </w:tcBorders>
            <w:shd w:val="clear" w:color="auto" w:fill="auto"/>
            <w:noWrap/>
            <w:vAlign w:val="bottom"/>
            <w:hideMark/>
          </w:tcPr>
          <w:p w14:paraId="57379CDB"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 xml:space="preserve">　</w:t>
            </w:r>
          </w:p>
        </w:tc>
        <w:tc>
          <w:tcPr>
            <w:tcW w:w="2417" w:type="dxa"/>
            <w:gridSpan w:val="2"/>
            <w:tcBorders>
              <w:top w:val="nil"/>
              <w:left w:val="nil"/>
              <w:bottom w:val="single" w:sz="4" w:space="0" w:color="auto"/>
              <w:right w:val="nil"/>
            </w:tcBorders>
            <w:shd w:val="clear" w:color="auto" w:fill="auto"/>
            <w:noWrap/>
            <w:vAlign w:val="bottom"/>
            <w:hideMark/>
          </w:tcPr>
          <w:p w14:paraId="0B895AFF"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141,012</w:t>
            </w:r>
          </w:p>
        </w:tc>
      </w:tr>
      <w:tr w:rsidR="000E49B7" w:rsidRPr="000E49B7" w14:paraId="4B84AA53" w14:textId="77777777" w:rsidTr="000E49B7">
        <w:trPr>
          <w:trHeight w:val="570"/>
        </w:trPr>
        <w:tc>
          <w:tcPr>
            <w:tcW w:w="13725" w:type="dxa"/>
            <w:gridSpan w:val="12"/>
            <w:tcBorders>
              <w:top w:val="nil"/>
              <w:left w:val="nil"/>
              <w:bottom w:val="nil"/>
              <w:right w:val="nil"/>
            </w:tcBorders>
            <w:shd w:val="clear" w:color="auto" w:fill="auto"/>
            <w:hideMark/>
          </w:tcPr>
          <w:p w14:paraId="2A7E54B7" w14:textId="77777777" w:rsidR="000E49B7" w:rsidRPr="000E49B7" w:rsidRDefault="000E49B7" w:rsidP="000E49B7">
            <w:pPr>
              <w:spacing w:after="0" w:line="240" w:lineRule="auto"/>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t xml:space="preserve">Notes: </w:t>
            </w:r>
            <w:r w:rsidRPr="000E49B7">
              <w:rPr>
                <w:rFonts w:ascii="Times New Roman" w:eastAsia="Malgun Gothic" w:hAnsi="Times New Roman" w:cs="Times New Roman"/>
                <w:color w:val="000000"/>
                <w:sz w:val="20"/>
                <w:szCs w:val="20"/>
              </w:rPr>
              <w:t>We provide summary statistics using the American Community Survey (ACS) data from 2009 to 2018. The first two columns include the sample of women and the last two the sample of men. We apply the weight as described in the text to calculate these statistics.</w:t>
            </w:r>
          </w:p>
        </w:tc>
      </w:tr>
    </w:tbl>
    <w:p w14:paraId="79D99936" w14:textId="77777777" w:rsidR="000E49B7" w:rsidRDefault="000E49B7"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sectPr w:rsidR="000E49B7" w:rsidSect="000E49B7">
          <w:pgSz w:w="16838" w:h="11906" w:orient="landscape"/>
          <w:pgMar w:top="1440" w:right="1440" w:bottom="1440" w:left="1440" w:header="851" w:footer="992" w:gutter="0"/>
          <w:cols w:space="425"/>
          <w:docGrid w:linePitch="360"/>
        </w:sectPr>
      </w:pPr>
    </w:p>
    <w:tbl>
      <w:tblPr>
        <w:tblW w:w="9058" w:type="dxa"/>
        <w:tblCellMar>
          <w:left w:w="99" w:type="dxa"/>
          <w:right w:w="99" w:type="dxa"/>
        </w:tblCellMar>
        <w:tblLook w:val="04A0" w:firstRow="1" w:lastRow="0" w:firstColumn="1" w:lastColumn="0" w:noHBand="0" w:noVBand="1"/>
      </w:tblPr>
      <w:tblGrid>
        <w:gridCol w:w="5836"/>
        <w:gridCol w:w="1640"/>
        <w:gridCol w:w="1582"/>
      </w:tblGrid>
      <w:tr w:rsidR="000E49B7" w:rsidRPr="000E49B7" w14:paraId="0692B00C" w14:textId="77777777" w:rsidTr="000E49B7">
        <w:trPr>
          <w:trHeight w:val="275"/>
        </w:trPr>
        <w:tc>
          <w:tcPr>
            <w:tcW w:w="9058" w:type="dxa"/>
            <w:gridSpan w:val="3"/>
            <w:tcBorders>
              <w:top w:val="nil"/>
              <w:left w:val="nil"/>
              <w:bottom w:val="double" w:sz="6" w:space="0" w:color="auto"/>
              <w:right w:val="nil"/>
            </w:tcBorders>
            <w:shd w:val="clear" w:color="auto" w:fill="auto"/>
            <w:noWrap/>
            <w:vAlign w:val="bottom"/>
            <w:hideMark/>
          </w:tcPr>
          <w:p w14:paraId="044FDB0A"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lastRenderedPageBreak/>
              <w:t>Table 2: Balancing Test</w:t>
            </w:r>
          </w:p>
        </w:tc>
      </w:tr>
      <w:tr w:rsidR="000E49B7" w:rsidRPr="000E49B7" w14:paraId="5D7E1CC1" w14:textId="77777777" w:rsidTr="000E49B7">
        <w:trPr>
          <w:trHeight w:val="275"/>
        </w:trPr>
        <w:tc>
          <w:tcPr>
            <w:tcW w:w="5836" w:type="dxa"/>
            <w:tcBorders>
              <w:top w:val="nil"/>
              <w:left w:val="nil"/>
              <w:bottom w:val="nil"/>
              <w:right w:val="nil"/>
            </w:tcBorders>
            <w:shd w:val="clear" w:color="auto" w:fill="auto"/>
            <w:noWrap/>
            <w:vAlign w:val="bottom"/>
            <w:hideMark/>
          </w:tcPr>
          <w:p w14:paraId="44786107"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Dependent</w:t>
            </w:r>
          </w:p>
        </w:tc>
        <w:tc>
          <w:tcPr>
            <w:tcW w:w="1640" w:type="dxa"/>
            <w:tcBorders>
              <w:top w:val="nil"/>
              <w:left w:val="nil"/>
              <w:bottom w:val="nil"/>
              <w:right w:val="nil"/>
            </w:tcBorders>
            <w:shd w:val="clear" w:color="auto" w:fill="auto"/>
            <w:noWrap/>
            <w:vAlign w:val="bottom"/>
            <w:hideMark/>
          </w:tcPr>
          <w:p w14:paraId="592F23F9"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Overall</w:t>
            </w:r>
          </w:p>
        </w:tc>
        <w:tc>
          <w:tcPr>
            <w:tcW w:w="1581" w:type="dxa"/>
            <w:tcBorders>
              <w:top w:val="nil"/>
              <w:left w:val="nil"/>
              <w:bottom w:val="nil"/>
              <w:right w:val="nil"/>
            </w:tcBorders>
            <w:shd w:val="clear" w:color="auto" w:fill="auto"/>
            <w:noWrap/>
            <w:vAlign w:val="bottom"/>
            <w:hideMark/>
          </w:tcPr>
          <w:p w14:paraId="0083DB3B"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Within CZ</w:t>
            </w:r>
          </w:p>
        </w:tc>
      </w:tr>
      <w:tr w:rsidR="000E49B7" w:rsidRPr="000E49B7" w14:paraId="1E497637" w14:textId="77777777" w:rsidTr="000E49B7">
        <w:trPr>
          <w:trHeight w:val="264"/>
        </w:trPr>
        <w:tc>
          <w:tcPr>
            <w:tcW w:w="5836" w:type="dxa"/>
            <w:tcBorders>
              <w:top w:val="nil"/>
              <w:left w:val="nil"/>
              <w:bottom w:val="single" w:sz="4" w:space="0" w:color="auto"/>
              <w:right w:val="nil"/>
            </w:tcBorders>
            <w:shd w:val="clear" w:color="auto" w:fill="auto"/>
            <w:noWrap/>
            <w:vAlign w:val="bottom"/>
            <w:hideMark/>
          </w:tcPr>
          <w:p w14:paraId="4A220C67"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Variables</w:t>
            </w:r>
          </w:p>
        </w:tc>
        <w:tc>
          <w:tcPr>
            <w:tcW w:w="1640" w:type="dxa"/>
            <w:tcBorders>
              <w:top w:val="nil"/>
              <w:left w:val="nil"/>
              <w:bottom w:val="single" w:sz="4" w:space="0" w:color="auto"/>
              <w:right w:val="nil"/>
            </w:tcBorders>
            <w:shd w:val="clear" w:color="auto" w:fill="auto"/>
            <w:noWrap/>
            <w:vAlign w:val="bottom"/>
            <w:hideMark/>
          </w:tcPr>
          <w:p w14:paraId="1742AD21"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Comparison</w:t>
            </w:r>
          </w:p>
        </w:tc>
        <w:tc>
          <w:tcPr>
            <w:tcW w:w="1581" w:type="dxa"/>
            <w:tcBorders>
              <w:top w:val="nil"/>
              <w:left w:val="nil"/>
              <w:bottom w:val="single" w:sz="4" w:space="0" w:color="auto"/>
              <w:right w:val="nil"/>
            </w:tcBorders>
            <w:shd w:val="clear" w:color="auto" w:fill="auto"/>
            <w:noWrap/>
            <w:vAlign w:val="bottom"/>
            <w:hideMark/>
          </w:tcPr>
          <w:p w14:paraId="73F87911"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Comparison</w:t>
            </w:r>
          </w:p>
        </w:tc>
      </w:tr>
      <w:tr w:rsidR="000E49B7" w:rsidRPr="000E49B7" w14:paraId="0D005352" w14:textId="77777777" w:rsidTr="000E49B7">
        <w:trPr>
          <w:trHeight w:val="264"/>
        </w:trPr>
        <w:tc>
          <w:tcPr>
            <w:tcW w:w="5836" w:type="dxa"/>
            <w:tcBorders>
              <w:top w:val="nil"/>
              <w:left w:val="nil"/>
              <w:bottom w:val="nil"/>
              <w:right w:val="nil"/>
            </w:tcBorders>
            <w:shd w:val="clear" w:color="auto" w:fill="auto"/>
            <w:noWrap/>
            <w:vAlign w:val="bottom"/>
            <w:hideMark/>
          </w:tcPr>
          <w:p w14:paraId="0348EB55"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p>
        </w:tc>
        <w:tc>
          <w:tcPr>
            <w:tcW w:w="1640" w:type="dxa"/>
            <w:tcBorders>
              <w:top w:val="nil"/>
              <w:left w:val="nil"/>
              <w:bottom w:val="nil"/>
              <w:right w:val="nil"/>
            </w:tcBorders>
            <w:shd w:val="clear" w:color="auto" w:fill="auto"/>
            <w:noWrap/>
            <w:vAlign w:val="bottom"/>
            <w:hideMark/>
          </w:tcPr>
          <w:p w14:paraId="1F78DD12"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81" w:type="dxa"/>
            <w:tcBorders>
              <w:top w:val="nil"/>
              <w:left w:val="nil"/>
              <w:bottom w:val="nil"/>
              <w:right w:val="nil"/>
            </w:tcBorders>
            <w:shd w:val="clear" w:color="auto" w:fill="auto"/>
            <w:noWrap/>
            <w:vAlign w:val="bottom"/>
            <w:hideMark/>
          </w:tcPr>
          <w:p w14:paraId="7AC5B010"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17642AE3" w14:textId="77777777" w:rsidTr="000E49B7">
        <w:trPr>
          <w:trHeight w:val="264"/>
        </w:trPr>
        <w:tc>
          <w:tcPr>
            <w:tcW w:w="5836" w:type="dxa"/>
            <w:tcBorders>
              <w:top w:val="nil"/>
              <w:left w:val="nil"/>
              <w:bottom w:val="nil"/>
              <w:right w:val="nil"/>
            </w:tcBorders>
            <w:shd w:val="clear" w:color="auto" w:fill="auto"/>
            <w:noWrap/>
            <w:vAlign w:val="bottom"/>
            <w:hideMark/>
          </w:tcPr>
          <w:p w14:paraId="60892DDB" w14:textId="77777777" w:rsidR="000E49B7" w:rsidRPr="000E49B7" w:rsidRDefault="000E49B7" w:rsidP="000E49B7">
            <w:pPr>
              <w:spacing w:after="0" w:line="240" w:lineRule="auto"/>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Panel A: CZ Level Aggregated Characteristics</w:t>
            </w:r>
          </w:p>
        </w:tc>
        <w:tc>
          <w:tcPr>
            <w:tcW w:w="1640" w:type="dxa"/>
            <w:tcBorders>
              <w:top w:val="nil"/>
              <w:left w:val="nil"/>
              <w:bottom w:val="nil"/>
              <w:right w:val="nil"/>
            </w:tcBorders>
            <w:shd w:val="clear" w:color="auto" w:fill="auto"/>
            <w:noWrap/>
            <w:vAlign w:val="bottom"/>
            <w:hideMark/>
          </w:tcPr>
          <w:p w14:paraId="09B105D3" w14:textId="77777777" w:rsidR="000E49B7" w:rsidRPr="000E49B7" w:rsidRDefault="000E49B7" w:rsidP="000E49B7">
            <w:pPr>
              <w:spacing w:after="0" w:line="240" w:lineRule="auto"/>
              <w:rPr>
                <w:rFonts w:ascii="Times New Roman" w:eastAsia="Malgun Gothic" w:hAnsi="Times New Roman" w:cs="Times New Roman"/>
                <w:b/>
                <w:bCs/>
                <w:color w:val="000000"/>
                <w:sz w:val="24"/>
                <w:szCs w:val="24"/>
              </w:rPr>
            </w:pPr>
          </w:p>
        </w:tc>
        <w:tc>
          <w:tcPr>
            <w:tcW w:w="1581" w:type="dxa"/>
            <w:tcBorders>
              <w:top w:val="nil"/>
              <w:left w:val="nil"/>
              <w:bottom w:val="nil"/>
              <w:right w:val="nil"/>
            </w:tcBorders>
            <w:shd w:val="clear" w:color="auto" w:fill="auto"/>
            <w:noWrap/>
            <w:vAlign w:val="bottom"/>
            <w:hideMark/>
          </w:tcPr>
          <w:p w14:paraId="67392C44"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253D58E2" w14:textId="77777777" w:rsidTr="000E49B7">
        <w:trPr>
          <w:trHeight w:val="264"/>
        </w:trPr>
        <w:tc>
          <w:tcPr>
            <w:tcW w:w="5836" w:type="dxa"/>
            <w:tcBorders>
              <w:top w:val="nil"/>
              <w:left w:val="nil"/>
              <w:bottom w:val="nil"/>
              <w:right w:val="nil"/>
            </w:tcBorders>
            <w:shd w:val="clear" w:color="auto" w:fill="auto"/>
            <w:noWrap/>
            <w:vAlign w:val="bottom"/>
            <w:hideMark/>
          </w:tcPr>
          <w:p w14:paraId="78CDF571"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Median Household Income</w:t>
            </w:r>
          </w:p>
        </w:tc>
        <w:tc>
          <w:tcPr>
            <w:tcW w:w="1640" w:type="dxa"/>
            <w:tcBorders>
              <w:top w:val="nil"/>
              <w:left w:val="nil"/>
              <w:bottom w:val="nil"/>
              <w:right w:val="nil"/>
            </w:tcBorders>
            <w:shd w:val="clear" w:color="auto" w:fill="auto"/>
            <w:noWrap/>
            <w:vAlign w:val="bottom"/>
            <w:hideMark/>
          </w:tcPr>
          <w:p w14:paraId="104DEBF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6,080.023***</w:t>
            </w:r>
          </w:p>
        </w:tc>
        <w:tc>
          <w:tcPr>
            <w:tcW w:w="1581" w:type="dxa"/>
            <w:tcBorders>
              <w:top w:val="nil"/>
              <w:left w:val="nil"/>
              <w:bottom w:val="nil"/>
              <w:right w:val="nil"/>
            </w:tcBorders>
            <w:shd w:val="clear" w:color="auto" w:fill="auto"/>
            <w:noWrap/>
            <w:vAlign w:val="bottom"/>
            <w:hideMark/>
          </w:tcPr>
          <w:p w14:paraId="1862E6C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-641.36</w:t>
            </w:r>
          </w:p>
        </w:tc>
      </w:tr>
      <w:tr w:rsidR="000E49B7" w:rsidRPr="000E49B7" w14:paraId="5D970B9A" w14:textId="77777777" w:rsidTr="000E49B7">
        <w:trPr>
          <w:trHeight w:val="264"/>
        </w:trPr>
        <w:tc>
          <w:tcPr>
            <w:tcW w:w="5836" w:type="dxa"/>
            <w:tcBorders>
              <w:top w:val="nil"/>
              <w:left w:val="nil"/>
              <w:bottom w:val="nil"/>
              <w:right w:val="nil"/>
            </w:tcBorders>
            <w:shd w:val="clear" w:color="auto" w:fill="auto"/>
            <w:noWrap/>
            <w:vAlign w:val="bottom"/>
            <w:hideMark/>
          </w:tcPr>
          <w:p w14:paraId="3D87AD1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1908472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(681.677)</w:t>
            </w:r>
          </w:p>
        </w:tc>
        <w:tc>
          <w:tcPr>
            <w:tcW w:w="1581" w:type="dxa"/>
            <w:tcBorders>
              <w:top w:val="nil"/>
              <w:left w:val="nil"/>
              <w:bottom w:val="nil"/>
              <w:right w:val="nil"/>
            </w:tcBorders>
            <w:shd w:val="clear" w:color="auto" w:fill="auto"/>
            <w:noWrap/>
            <w:vAlign w:val="bottom"/>
            <w:hideMark/>
          </w:tcPr>
          <w:p w14:paraId="6D9DE64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(3,667.636)</w:t>
            </w:r>
          </w:p>
        </w:tc>
      </w:tr>
      <w:tr w:rsidR="000E49B7" w:rsidRPr="000E49B7" w14:paraId="3921F081" w14:textId="77777777" w:rsidTr="000E49B7">
        <w:trPr>
          <w:trHeight w:val="264"/>
        </w:trPr>
        <w:tc>
          <w:tcPr>
            <w:tcW w:w="5836" w:type="dxa"/>
            <w:tcBorders>
              <w:top w:val="nil"/>
              <w:left w:val="nil"/>
              <w:bottom w:val="nil"/>
              <w:right w:val="nil"/>
            </w:tcBorders>
            <w:shd w:val="clear" w:color="auto" w:fill="auto"/>
            <w:noWrap/>
            <w:vAlign w:val="bottom"/>
            <w:hideMark/>
          </w:tcPr>
          <w:p w14:paraId="06A4F195"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Population Density</w:t>
            </w:r>
          </w:p>
        </w:tc>
        <w:tc>
          <w:tcPr>
            <w:tcW w:w="1640" w:type="dxa"/>
            <w:tcBorders>
              <w:top w:val="nil"/>
              <w:left w:val="nil"/>
              <w:bottom w:val="nil"/>
              <w:right w:val="nil"/>
            </w:tcBorders>
            <w:shd w:val="clear" w:color="auto" w:fill="auto"/>
            <w:noWrap/>
            <w:vAlign w:val="bottom"/>
            <w:hideMark/>
          </w:tcPr>
          <w:p w14:paraId="00D4A46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90.412</w:t>
            </w:r>
          </w:p>
        </w:tc>
        <w:tc>
          <w:tcPr>
            <w:tcW w:w="1581" w:type="dxa"/>
            <w:tcBorders>
              <w:top w:val="nil"/>
              <w:left w:val="nil"/>
              <w:bottom w:val="nil"/>
              <w:right w:val="nil"/>
            </w:tcBorders>
            <w:shd w:val="clear" w:color="auto" w:fill="auto"/>
            <w:noWrap/>
            <w:vAlign w:val="bottom"/>
            <w:hideMark/>
          </w:tcPr>
          <w:p w14:paraId="78B454B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-22.495</w:t>
            </w:r>
          </w:p>
        </w:tc>
      </w:tr>
      <w:tr w:rsidR="000E49B7" w:rsidRPr="000E49B7" w14:paraId="1FDD1B33" w14:textId="77777777" w:rsidTr="000E49B7">
        <w:trPr>
          <w:trHeight w:val="264"/>
        </w:trPr>
        <w:tc>
          <w:tcPr>
            <w:tcW w:w="5836" w:type="dxa"/>
            <w:tcBorders>
              <w:top w:val="nil"/>
              <w:left w:val="nil"/>
              <w:bottom w:val="nil"/>
              <w:right w:val="nil"/>
            </w:tcBorders>
            <w:shd w:val="clear" w:color="auto" w:fill="auto"/>
            <w:noWrap/>
            <w:vAlign w:val="bottom"/>
            <w:hideMark/>
          </w:tcPr>
          <w:p w14:paraId="661460F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36D82D2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(70.909)</w:t>
            </w:r>
          </w:p>
        </w:tc>
        <w:tc>
          <w:tcPr>
            <w:tcW w:w="1581" w:type="dxa"/>
            <w:tcBorders>
              <w:top w:val="nil"/>
              <w:left w:val="nil"/>
              <w:bottom w:val="nil"/>
              <w:right w:val="nil"/>
            </w:tcBorders>
            <w:shd w:val="clear" w:color="auto" w:fill="auto"/>
            <w:noWrap/>
            <w:vAlign w:val="bottom"/>
            <w:hideMark/>
          </w:tcPr>
          <w:p w14:paraId="1E4A34E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(247.360)</w:t>
            </w:r>
          </w:p>
        </w:tc>
      </w:tr>
      <w:tr w:rsidR="000E49B7" w:rsidRPr="000E49B7" w14:paraId="7CABD03F" w14:textId="77777777" w:rsidTr="000E49B7">
        <w:trPr>
          <w:trHeight w:val="264"/>
        </w:trPr>
        <w:tc>
          <w:tcPr>
            <w:tcW w:w="5836" w:type="dxa"/>
            <w:tcBorders>
              <w:top w:val="nil"/>
              <w:left w:val="nil"/>
              <w:bottom w:val="nil"/>
              <w:right w:val="nil"/>
            </w:tcBorders>
            <w:shd w:val="clear" w:color="auto" w:fill="auto"/>
            <w:noWrap/>
            <w:vAlign w:val="bottom"/>
            <w:hideMark/>
          </w:tcPr>
          <w:p w14:paraId="006948BA"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Democratic Presidential Candidate's Vote Share</w:t>
            </w:r>
          </w:p>
        </w:tc>
        <w:tc>
          <w:tcPr>
            <w:tcW w:w="1640" w:type="dxa"/>
            <w:tcBorders>
              <w:top w:val="nil"/>
              <w:left w:val="nil"/>
              <w:bottom w:val="nil"/>
              <w:right w:val="nil"/>
            </w:tcBorders>
            <w:shd w:val="clear" w:color="auto" w:fill="auto"/>
            <w:noWrap/>
            <w:vAlign w:val="bottom"/>
            <w:hideMark/>
          </w:tcPr>
          <w:p w14:paraId="6217A8D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0.047***</w:t>
            </w:r>
          </w:p>
        </w:tc>
        <w:tc>
          <w:tcPr>
            <w:tcW w:w="1581" w:type="dxa"/>
            <w:tcBorders>
              <w:top w:val="nil"/>
              <w:left w:val="nil"/>
              <w:bottom w:val="nil"/>
              <w:right w:val="nil"/>
            </w:tcBorders>
            <w:shd w:val="clear" w:color="auto" w:fill="auto"/>
            <w:noWrap/>
            <w:vAlign w:val="bottom"/>
            <w:hideMark/>
          </w:tcPr>
          <w:p w14:paraId="40B50C7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0.049</w:t>
            </w:r>
          </w:p>
        </w:tc>
      </w:tr>
      <w:tr w:rsidR="000E49B7" w:rsidRPr="000E49B7" w14:paraId="578F979F" w14:textId="77777777" w:rsidTr="000E49B7">
        <w:trPr>
          <w:trHeight w:val="264"/>
        </w:trPr>
        <w:tc>
          <w:tcPr>
            <w:tcW w:w="5836" w:type="dxa"/>
            <w:tcBorders>
              <w:top w:val="nil"/>
              <w:left w:val="nil"/>
              <w:bottom w:val="nil"/>
              <w:right w:val="nil"/>
            </w:tcBorders>
            <w:shd w:val="clear" w:color="auto" w:fill="auto"/>
            <w:noWrap/>
            <w:vAlign w:val="bottom"/>
            <w:hideMark/>
          </w:tcPr>
          <w:p w14:paraId="666108B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3398D3E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(0.010)</w:t>
            </w:r>
          </w:p>
        </w:tc>
        <w:tc>
          <w:tcPr>
            <w:tcW w:w="1581" w:type="dxa"/>
            <w:tcBorders>
              <w:top w:val="nil"/>
              <w:left w:val="nil"/>
              <w:bottom w:val="nil"/>
              <w:right w:val="nil"/>
            </w:tcBorders>
            <w:shd w:val="clear" w:color="auto" w:fill="auto"/>
            <w:noWrap/>
            <w:vAlign w:val="bottom"/>
            <w:hideMark/>
          </w:tcPr>
          <w:p w14:paraId="090673A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(0.052)</w:t>
            </w:r>
          </w:p>
        </w:tc>
      </w:tr>
      <w:tr w:rsidR="000E49B7" w:rsidRPr="000E49B7" w14:paraId="4D0F039A" w14:textId="77777777" w:rsidTr="000E49B7">
        <w:trPr>
          <w:trHeight w:val="264"/>
        </w:trPr>
        <w:tc>
          <w:tcPr>
            <w:tcW w:w="5836" w:type="dxa"/>
            <w:tcBorders>
              <w:top w:val="nil"/>
              <w:left w:val="nil"/>
              <w:bottom w:val="nil"/>
              <w:right w:val="nil"/>
            </w:tcBorders>
            <w:shd w:val="clear" w:color="auto" w:fill="auto"/>
            <w:noWrap/>
            <w:vAlign w:val="bottom"/>
            <w:hideMark/>
          </w:tcPr>
          <w:p w14:paraId="3AB89351"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Unemployment Rate</w:t>
            </w:r>
          </w:p>
        </w:tc>
        <w:tc>
          <w:tcPr>
            <w:tcW w:w="1640" w:type="dxa"/>
            <w:tcBorders>
              <w:top w:val="nil"/>
              <w:left w:val="nil"/>
              <w:bottom w:val="nil"/>
              <w:right w:val="nil"/>
            </w:tcBorders>
            <w:shd w:val="clear" w:color="auto" w:fill="auto"/>
            <w:noWrap/>
            <w:vAlign w:val="bottom"/>
            <w:hideMark/>
          </w:tcPr>
          <w:p w14:paraId="55F85B1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-1.142***</w:t>
            </w:r>
          </w:p>
        </w:tc>
        <w:tc>
          <w:tcPr>
            <w:tcW w:w="1581" w:type="dxa"/>
            <w:tcBorders>
              <w:top w:val="nil"/>
              <w:left w:val="nil"/>
              <w:bottom w:val="nil"/>
              <w:right w:val="nil"/>
            </w:tcBorders>
            <w:shd w:val="clear" w:color="auto" w:fill="auto"/>
            <w:noWrap/>
            <w:vAlign w:val="bottom"/>
            <w:hideMark/>
          </w:tcPr>
          <w:p w14:paraId="33CCA62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0.379</w:t>
            </w:r>
          </w:p>
        </w:tc>
      </w:tr>
      <w:tr w:rsidR="000E49B7" w:rsidRPr="000E49B7" w14:paraId="01FC800C" w14:textId="77777777" w:rsidTr="000E49B7">
        <w:trPr>
          <w:trHeight w:val="264"/>
        </w:trPr>
        <w:tc>
          <w:tcPr>
            <w:tcW w:w="5836" w:type="dxa"/>
            <w:tcBorders>
              <w:top w:val="nil"/>
              <w:left w:val="nil"/>
              <w:bottom w:val="nil"/>
              <w:right w:val="nil"/>
            </w:tcBorders>
            <w:shd w:val="clear" w:color="auto" w:fill="auto"/>
            <w:noWrap/>
            <w:vAlign w:val="bottom"/>
            <w:hideMark/>
          </w:tcPr>
          <w:p w14:paraId="540A183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224EE33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(0.146)</w:t>
            </w:r>
          </w:p>
        </w:tc>
        <w:tc>
          <w:tcPr>
            <w:tcW w:w="1581" w:type="dxa"/>
            <w:tcBorders>
              <w:top w:val="nil"/>
              <w:left w:val="nil"/>
              <w:bottom w:val="nil"/>
              <w:right w:val="nil"/>
            </w:tcBorders>
            <w:shd w:val="clear" w:color="auto" w:fill="auto"/>
            <w:noWrap/>
            <w:vAlign w:val="bottom"/>
            <w:hideMark/>
          </w:tcPr>
          <w:p w14:paraId="476ED55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(0.677)</w:t>
            </w:r>
          </w:p>
        </w:tc>
      </w:tr>
      <w:tr w:rsidR="000E49B7" w:rsidRPr="000E49B7" w14:paraId="600B0446" w14:textId="77777777" w:rsidTr="000E49B7">
        <w:trPr>
          <w:trHeight w:val="264"/>
        </w:trPr>
        <w:tc>
          <w:tcPr>
            <w:tcW w:w="5836" w:type="dxa"/>
            <w:tcBorders>
              <w:top w:val="nil"/>
              <w:left w:val="nil"/>
              <w:bottom w:val="nil"/>
              <w:right w:val="nil"/>
            </w:tcBorders>
            <w:shd w:val="clear" w:color="auto" w:fill="auto"/>
            <w:noWrap/>
            <w:vAlign w:val="bottom"/>
            <w:hideMark/>
          </w:tcPr>
          <w:p w14:paraId="4EC8FA5D"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Employment-to-Population Ratio</w:t>
            </w:r>
          </w:p>
        </w:tc>
        <w:tc>
          <w:tcPr>
            <w:tcW w:w="1640" w:type="dxa"/>
            <w:tcBorders>
              <w:top w:val="nil"/>
              <w:left w:val="nil"/>
              <w:bottom w:val="nil"/>
              <w:right w:val="nil"/>
            </w:tcBorders>
            <w:shd w:val="clear" w:color="auto" w:fill="auto"/>
            <w:noWrap/>
            <w:vAlign w:val="bottom"/>
            <w:hideMark/>
          </w:tcPr>
          <w:p w14:paraId="0F39AFD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0.051***</w:t>
            </w:r>
          </w:p>
        </w:tc>
        <w:tc>
          <w:tcPr>
            <w:tcW w:w="1581" w:type="dxa"/>
            <w:tcBorders>
              <w:top w:val="nil"/>
              <w:left w:val="nil"/>
              <w:bottom w:val="nil"/>
              <w:right w:val="nil"/>
            </w:tcBorders>
            <w:shd w:val="clear" w:color="auto" w:fill="auto"/>
            <w:noWrap/>
            <w:vAlign w:val="bottom"/>
            <w:hideMark/>
          </w:tcPr>
          <w:p w14:paraId="331C4EE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-0.003</w:t>
            </w:r>
          </w:p>
        </w:tc>
      </w:tr>
      <w:tr w:rsidR="000E49B7" w:rsidRPr="000E49B7" w14:paraId="738A20EC" w14:textId="77777777" w:rsidTr="000E49B7">
        <w:trPr>
          <w:trHeight w:val="264"/>
        </w:trPr>
        <w:tc>
          <w:tcPr>
            <w:tcW w:w="5836" w:type="dxa"/>
            <w:tcBorders>
              <w:top w:val="nil"/>
              <w:left w:val="nil"/>
              <w:bottom w:val="nil"/>
              <w:right w:val="nil"/>
            </w:tcBorders>
            <w:shd w:val="clear" w:color="auto" w:fill="auto"/>
            <w:noWrap/>
            <w:vAlign w:val="bottom"/>
            <w:hideMark/>
          </w:tcPr>
          <w:p w14:paraId="21AFD8E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7221103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(0.004)</w:t>
            </w:r>
          </w:p>
        </w:tc>
        <w:tc>
          <w:tcPr>
            <w:tcW w:w="1581" w:type="dxa"/>
            <w:tcBorders>
              <w:top w:val="nil"/>
              <w:left w:val="nil"/>
              <w:bottom w:val="nil"/>
              <w:right w:val="nil"/>
            </w:tcBorders>
            <w:shd w:val="clear" w:color="auto" w:fill="auto"/>
            <w:noWrap/>
            <w:vAlign w:val="bottom"/>
            <w:hideMark/>
          </w:tcPr>
          <w:p w14:paraId="79775F2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(0.024)</w:t>
            </w:r>
          </w:p>
        </w:tc>
      </w:tr>
      <w:tr w:rsidR="000E49B7" w:rsidRPr="000E49B7" w14:paraId="61EEA688" w14:textId="77777777" w:rsidTr="000E49B7">
        <w:trPr>
          <w:trHeight w:val="264"/>
        </w:trPr>
        <w:tc>
          <w:tcPr>
            <w:tcW w:w="5836" w:type="dxa"/>
            <w:tcBorders>
              <w:top w:val="nil"/>
              <w:left w:val="nil"/>
              <w:bottom w:val="nil"/>
              <w:right w:val="nil"/>
            </w:tcBorders>
            <w:shd w:val="clear" w:color="auto" w:fill="auto"/>
            <w:noWrap/>
            <w:vAlign w:val="bottom"/>
            <w:hideMark/>
          </w:tcPr>
          <w:p w14:paraId="151E0223"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Labor Force Participation Rate</w:t>
            </w:r>
          </w:p>
        </w:tc>
        <w:tc>
          <w:tcPr>
            <w:tcW w:w="1640" w:type="dxa"/>
            <w:tcBorders>
              <w:top w:val="nil"/>
              <w:left w:val="nil"/>
              <w:bottom w:val="nil"/>
              <w:right w:val="nil"/>
            </w:tcBorders>
            <w:shd w:val="clear" w:color="auto" w:fill="auto"/>
            <w:noWrap/>
            <w:vAlign w:val="bottom"/>
            <w:hideMark/>
          </w:tcPr>
          <w:p w14:paraId="3B44AAB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4.898***</w:t>
            </w:r>
          </w:p>
        </w:tc>
        <w:tc>
          <w:tcPr>
            <w:tcW w:w="1581" w:type="dxa"/>
            <w:tcBorders>
              <w:top w:val="nil"/>
              <w:left w:val="nil"/>
              <w:bottom w:val="nil"/>
              <w:right w:val="nil"/>
            </w:tcBorders>
            <w:shd w:val="clear" w:color="auto" w:fill="auto"/>
            <w:noWrap/>
            <w:vAlign w:val="bottom"/>
            <w:hideMark/>
          </w:tcPr>
          <w:p w14:paraId="5455280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-0.101</w:t>
            </w:r>
          </w:p>
        </w:tc>
      </w:tr>
      <w:tr w:rsidR="000E49B7" w:rsidRPr="000E49B7" w14:paraId="2545A5F2" w14:textId="77777777" w:rsidTr="000E49B7">
        <w:trPr>
          <w:trHeight w:val="264"/>
        </w:trPr>
        <w:tc>
          <w:tcPr>
            <w:tcW w:w="5836" w:type="dxa"/>
            <w:tcBorders>
              <w:top w:val="nil"/>
              <w:left w:val="nil"/>
              <w:bottom w:val="nil"/>
              <w:right w:val="nil"/>
            </w:tcBorders>
            <w:shd w:val="clear" w:color="auto" w:fill="auto"/>
            <w:noWrap/>
            <w:vAlign w:val="bottom"/>
            <w:hideMark/>
          </w:tcPr>
          <w:p w14:paraId="1B779C8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56BBC65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(0.426)</w:t>
            </w:r>
          </w:p>
        </w:tc>
        <w:tc>
          <w:tcPr>
            <w:tcW w:w="1581" w:type="dxa"/>
            <w:tcBorders>
              <w:top w:val="nil"/>
              <w:left w:val="nil"/>
              <w:bottom w:val="nil"/>
              <w:right w:val="nil"/>
            </w:tcBorders>
            <w:shd w:val="clear" w:color="auto" w:fill="auto"/>
            <w:noWrap/>
            <w:vAlign w:val="bottom"/>
            <w:hideMark/>
          </w:tcPr>
          <w:p w14:paraId="7CB4203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(2.388)</w:t>
            </w:r>
          </w:p>
        </w:tc>
      </w:tr>
      <w:tr w:rsidR="000E49B7" w:rsidRPr="000E49B7" w14:paraId="12A1CA04" w14:textId="77777777" w:rsidTr="000E49B7">
        <w:trPr>
          <w:trHeight w:val="264"/>
        </w:trPr>
        <w:tc>
          <w:tcPr>
            <w:tcW w:w="5836" w:type="dxa"/>
            <w:tcBorders>
              <w:top w:val="nil"/>
              <w:left w:val="nil"/>
              <w:bottom w:val="nil"/>
              <w:right w:val="nil"/>
            </w:tcBorders>
            <w:shd w:val="clear" w:color="auto" w:fill="auto"/>
            <w:noWrap/>
            <w:vAlign w:val="bottom"/>
            <w:hideMark/>
          </w:tcPr>
          <w:p w14:paraId="7BFBEA09"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1640" w:type="dxa"/>
            <w:tcBorders>
              <w:top w:val="nil"/>
              <w:left w:val="nil"/>
              <w:bottom w:val="nil"/>
              <w:right w:val="nil"/>
            </w:tcBorders>
            <w:shd w:val="clear" w:color="auto" w:fill="auto"/>
            <w:noWrap/>
            <w:vAlign w:val="bottom"/>
            <w:hideMark/>
          </w:tcPr>
          <w:p w14:paraId="0A4E532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7,760</w:t>
            </w:r>
          </w:p>
        </w:tc>
        <w:tc>
          <w:tcPr>
            <w:tcW w:w="1581" w:type="dxa"/>
            <w:tcBorders>
              <w:top w:val="nil"/>
              <w:left w:val="nil"/>
              <w:bottom w:val="nil"/>
              <w:right w:val="nil"/>
            </w:tcBorders>
            <w:shd w:val="clear" w:color="auto" w:fill="auto"/>
            <w:noWrap/>
            <w:vAlign w:val="bottom"/>
            <w:hideMark/>
          </w:tcPr>
          <w:p w14:paraId="79D8F0F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7,760</w:t>
            </w:r>
          </w:p>
        </w:tc>
      </w:tr>
      <w:tr w:rsidR="000E49B7" w:rsidRPr="000E49B7" w14:paraId="72429652" w14:textId="77777777" w:rsidTr="000E49B7">
        <w:trPr>
          <w:trHeight w:val="264"/>
        </w:trPr>
        <w:tc>
          <w:tcPr>
            <w:tcW w:w="5836" w:type="dxa"/>
            <w:tcBorders>
              <w:top w:val="nil"/>
              <w:left w:val="nil"/>
              <w:bottom w:val="single" w:sz="4" w:space="0" w:color="auto"/>
              <w:right w:val="nil"/>
            </w:tcBorders>
            <w:shd w:val="clear" w:color="auto" w:fill="auto"/>
            <w:noWrap/>
            <w:vAlign w:val="bottom"/>
            <w:hideMark/>
          </w:tcPr>
          <w:p w14:paraId="63CFC69B"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640" w:type="dxa"/>
            <w:tcBorders>
              <w:top w:val="nil"/>
              <w:left w:val="nil"/>
              <w:bottom w:val="single" w:sz="4" w:space="0" w:color="auto"/>
              <w:right w:val="nil"/>
            </w:tcBorders>
            <w:shd w:val="clear" w:color="auto" w:fill="auto"/>
            <w:noWrap/>
            <w:vAlign w:val="bottom"/>
            <w:hideMark/>
          </w:tcPr>
          <w:p w14:paraId="35030944"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581" w:type="dxa"/>
            <w:tcBorders>
              <w:top w:val="nil"/>
              <w:left w:val="nil"/>
              <w:bottom w:val="single" w:sz="4" w:space="0" w:color="auto"/>
              <w:right w:val="nil"/>
            </w:tcBorders>
            <w:shd w:val="clear" w:color="auto" w:fill="auto"/>
            <w:noWrap/>
            <w:vAlign w:val="bottom"/>
            <w:hideMark/>
          </w:tcPr>
          <w:p w14:paraId="50875131"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r>
      <w:tr w:rsidR="000E49B7" w:rsidRPr="000E49B7" w14:paraId="4B97B677" w14:textId="77777777" w:rsidTr="000E49B7">
        <w:trPr>
          <w:trHeight w:val="264"/>
        </w:trPr>
        <w:tc>
          <w:tcPr>
            <w:tcW w:w="5836" w:type="dxa"/>
            <w:tcBorders>
              <w:top w:val="nil"/>
              <w:left w:val="nil"/>
              <w:bottom w:val="nil"/>
              <w:right w:val="nil"/>
            </w:tcBorders>
            <w:shd w:val="clear" w:color="auto" w:fill="auto"/>
            <w:noWrap/>
            <w:vAlign w:val="bottom"/>
            <w:hideMark/>
          </w:tcPr>
          <w:p w14:paraId="7F8DB99A" w14:textId="525875DA" w:rsidR="000E49B7" w:rsidRPr="000E49B7" w:rsidRDefault="000E49B7" w:rsidP="000E49B7">
            <w:pPr>
              <w:spacing w:after="0" w:line="240" w:lineRule="auto"/>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Panel B: In</w:t>
            </w:r>
            <w:r>
              <w:rPr>
                <w:rFonts w:ascii="Times New Roman" w:eastAsia="Malgun Gothic" w:hAnsi="Times New Roman" w:cs="Times New Roman"/>
                <w:b/>
                <w:bCs/>
                <w:color w:val="000000"/>
                <w:sz w:val="24"/>
                <w:szCs w:val="24"/>
              </w:rPr>
              <w:t>divid</w:t>
            </w:r>
            <w:r w:rsidRPr="000E49B7">
              <w:rPr>
                <w:rFonts w:ascii="Times New Roman" w:eastAsia="Malgun Gothic" w:hAnsi="Times New Roman" w:cs="Times New Roman"/>
                <w:b/>
                <w:bCs/>
                <w:color w:val="000000"/>
                <w:sz w:val="24"/>
                <w:szCs w:val="24"/>
              </w:rPr>
              <w:t>ual Characteristics</w:t>
            </w:r>
          </w:p>
        </w:tc>
        <w:tc>
          <w:tcPr>
            <w:tcW w:w="1640" w:type="dxa"/>
            <w:tcBorders>
              <w:top w:val="nil"/>
              <w:left w:val="nil"/>
              <w:bottom w:val="nil"/>
              <w:right w:val="nil"/>
            </w:tcBorders>
            <w:shd w:val="clear" w:color="auto" w:fill="auto"/>
            <w:noWrap/>
            <w:vAlign w:val="bottom"/>
            <w:hideMark/>
          </w:tcPr>
          <w:p w14:paraId="7B1645D9" w14:textId="77777777" w:rsidR="000E49B7" w:rsidRPr="000E49B7" w:rsidRDefault="000E49B7" w:rsidP="000E49B7">
            <w:pPr>
              <w:spacing w:after="0" w:line="240" w:lineRule="auto"/>
              <w:rPr>
                <w:rFonts w:ascii="Times New Roman" w:eastAsia="Malgun Gothic" w:hAnsi="Times New Roman" w:cs="Times New Roman"/>
                <w:b/>
                <w:bCs/>
                <w:color w:val="000000"/>
                <w:sz w:val="24"/>
                <w:szCs w:val="24"/>
              </w:rPr>
            </w:pPr>
          </w:p>
        </w:tc>
        <w:tc>
          <w:tcPr>
            <w:tcW w:w="1581" w:type="dxa"/>
            <w:tcBorders>
              <w:top w:val="nil"/>
              <w:left w:val="nil"/>
              <w:bottom w:val="nil"/>
              <w:right w:val="nil"/>
            </w:tcBorders>
            <w:shd w:val="clear" w:color="auto" w:fill="auto"/>
            <w:noWrap/>
            <w:vAlign w:val="bottom"/>
            <w:hideMark/>
          </w:tcPr>
          <w:p w14:paraId="20828E3E"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3CA32070" w14:textId="77777777" w:rsidTr="000E49B7">
        <w:trPr>
          <w:trHeight w:val="264"/>
        </w:trPr>
        <w:tc>
          <w:tcPr>
            <w:tcW w:w="5836" w:type="dxa"/>
            <w:tcBorders>
              <w:top w:val="nil"/>
              <w:left w:val="nil"/>
              <w:bottom w:val="nil"/>
              <w:right w:val="nil"/>
            </w:tcBorders>
            <w:shd w:val="clear" w:color="auto" w:fill="auto"/>
            <w:noWrap/>
            <w:vAlign w:val="bottom"/>
            <w:hideMark/>
          </w:tcPr>
          <w:p w14:paraId="163FDA2F"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2AA20695"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81" w:type="dxa"/>
            <w:tcBorders>
              <w:top w:val="nil"/>
              <w:left w:val="nil"/>
              <w:bottom w:val="nil"/>
              <w:right w:val="nil"/>
            </w:tcBorders>
            <w:shd w:val="clear" w:color="auto" w:fill="auto"/>
            <w:noWrap/>
            <w:vAlign w:val="bottom"/>
            <w:hideMark/>
          </w:tcPr>
          <w:p w14:paraId="24E33CE0"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182BC36E" w14:textId="77777777" w:rsidTr="000E49B7">
        <w:trPr>
          <w:trHeight w:val="264"/>
        </w:trPr>
        <w:tc>
          <w:tcPr>
            <w:tcW w:w="5836" w:type="dxa"/>
            <w:tcBorders>
              <w:top w:val="nil"/>
              <w:left w:val="nil"/>
              <w:bottom w:val="nil"/>
              <w:right w:val="nil"/>
            </w:tcBorders>
            <w:shd w:val="clear" w:color="auto" w:fill="auto"/>
            <w:noWrap/>
            <w:vAlign w:val="bottom"/>
            <w:hideMark/>
          </w:tcPr>
          <w:p w14:paraId="592031F7"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Age</w:t>
            </w:r>
          </w:p>
        </w:tc>
        <w:tc>
          <w:tcPr>
            <w:tcW w:w="1640" w:type="dxa"/>
            <w:tcBorders>
              <w:top w:val="nil"/>
              <w:left w:val="nil"/>
              <w:bottom w:val="nil"/>
              <w:right w:val="nil"/>
            </w:tcBorders>
            <w:shd w:val="clear" w:color="auto" w:fill="auto"/>
            <w:noWrap/>
            <w:vAlign w:val="bottom"/>
            <w:hideMark/>
          </w:tcPr>
          <w:p w14:paraId="4329C34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-0.207*</w:t>
            </w:r>
          </w:p>
        </w:tc>
        <w:tc>
          <w:tcPr>
            <w:tcW w:w="1581" w:type="dxa"/>
            <w:tcBorders>
              <w:top w:val="nil"/>
              <w:left w:val="nil"/>
              <w:bottom w:val="nil"/>
              <w:right w:val="nil"/>
            </w:tcBorders>
            <w:shd w:val="clear" w:color="auto" w:fill="auto"/>
            <w:noWrap/>
            <w:vAlign w:val="bottom"/>
            <w:hideMark/>
          </w:tcPr>
          <w:p w14:paraId="34360A0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0.417**</w:t>
            </w:r>
          </w:p>
        </w:tc>
      </w:tr>
      <w:tr w:rsidR="000E49B7" w:rsidRPr="000E49B7" w14:paraId="3415037A" w14:textId="77777777" w:rsidTr="000E49B7">
        <w:trPr>
          <w:trHeight w:val="264"/>
        </w:trPr>
        <w:tc>
          <w:tcPr>
            <w:tcW w:w="5836" w:type="dxa"/>
            <w:tcBorders>
              <w:top w:val="nil"/>
              <w:left w:val="nil"/>
              <w:bottom w:val="nil"/>
              <w:right w:val="nil"/>
            </w:tcBorders>
            <w:shd w:val="clear" w:color="auto" w:fill="auto"/>
            <w:noWrap/>
            <w:vAlign w:val="bottom"/>
            <w:hideMark/>
          </w:tcPr>
          <w:p w14:paraId="61F5035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0F8EEDA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(0.108)</w:t>
            </w:r>
          </w:p>
        </w:tc>
        <w:tc>
          <w:tcPr>
            <w:tcW w:w="1581" w:type="dxa"/>
            <w:tcBorders>
              <w:top w:val="nil"/>
              <w:left w:val="nil"/>
              <w:bottom w:val="nil"/>
              <w:right w:val="nil"/>
            </w:tcBorders>
            <w:shd w:val="clear" w:color="auto" w:fill="auto"/>
            <w:noWrap/>
            <w:vAlign w:val="bottom"/>
            <w:hideMark/>
          </w:tcPr>
          <w:p w14:paraId="7940554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(0.175)</w:t>
            </w:r>
          </w:p>
        </w:tc>
      </w:tr>
      <w:tr w:rsidR="000E49B7" w:rsidRPr="000E49B7" w14:paraId="25CFE2F3" w14:textId="77777777" w:rsidTr="000E49B7">
        <w:trPr>
          <w:trHeight w:val="264"/>
        </w:trPr>
        <w:tc>
          <w:tcPr>
            <w:tcW w:w="5836" w:type="dxa"/>
            <w:tcBorders>
              <w:top w:val="nil"/>
              <w:left w:val="nil"/>
              <w:bottom w:val="nil"/>
              <w:right w:val="nil"/>
            </w:tcBorders>
            <w:shd w:val="clear" w:color="auto" w:fill="auto"/>
            <w:noWrap/>
            <w:vAlign w:val="bottom"/>
            <w:hideMark/>
          </w:tcPr>
          <w:p w14:paraId="25332215"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Female</w:t>
            </w:r>
          </w:p>
        </w:tc>
        <w:tc>
          <w:tcPr>
            <w:tcW w:w="1640" w:type="dxa"/>
            <w:tcBorders>
              <w:top w:val="nil"/>
              <w:left w:val="nil"/>
              <w:bottom w:val="nil"/>
              <w:right w:val="nil"/>
            </w:tcBorders>
            <w:shd w:val="clear" w:color="auto" w:fill="auto"/>
            <w:noWrap/>
            <w:vAlign w:val="bottom"/>
            <w:hideMark/>
          </w:tcPr>
          <w:p w14:paraId="35AF536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-0.001</w:t>
            </w:r>
          </w:p>
        </w:tc>
        <w:tc>
          <w:tcPr>
            <w:tcW w:w="1581" w:type="dxa"/>
            <w:tcBorders>
              <w:top w:val="nil"/>
              <w:left w:val="nil"/>
              <w:bottom w:val="nil"/>
              <w:right w:val="nil"/>
            </w:tcBorders>
            <w:shd w:val="clear" w:color="auto" w:fill="auto"/>
            <w:noWrap/>
            <w:vAlign w:val="bottom"/>
            <w:hideMark/>
          </w:tcPr>
          <w:p w14:paraId="221F4CB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0.015</w:t>
            </w:r>
          </w:p>
        </w:tc>
      </w:tr>
      <w:tr w:rsidR="000E49B7" w:rsidRPr="000E49B7" w14:paraId="0C6B7875" w14:textId="77777777" w:rsidTr="000E49B7">
        <w:trPr>
          <w:trHeight w:val="264"/>
        </w:trPr>
        <w:tc>
          <w:tcPr>
            <w:tcW w:w="5836" w:type="dxa"/>
            <w:tcBorders>
              <w:top w:val="nil"/>
              <w:left w:val="nil"/>
              <w:bottom w:val="nil"/>
              <w:right w:val="nil"/>
            </w:tcBorders>
            <w:shd w:val="clear" w:color="auto" w:fill="auto"/>
            <w:noWrap/>
            <w:vAlign w:val="bottom"/>
            <w:hideMark/>
          </w:tcPr>
          <w:p w14:paraId="33425A8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13977CC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(0.007)</w:t>
            </w:r>
          </w:p>
        </w:tc>
        <w:tc>
          <w:tcPr>
            <w:tcW w:w="1581" w:type="dxa"/>
            <w:tcBorders>
              <w:top w:val="nil"/>
              <w:left w:val="nil"/>
              <w:bottom w:val="nil"/>
              <w:right w:val="nil"/>
            </w:tcBorders>
            <w:shd w:val="clear" w:color="auto" w:fill="auto"/>
            <w:noWrap/>
            <w:vAlign w:val="bottom"/>
            <w:hideMark/>
          </w:tcPr>
          <w:p w14:paraId="359ABDA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w:t>
            </w:r>
          </w:p>
        </w:tc>
      </w:tr>
      <w:tr w:rsidR="000E49B7" w:rsidRPr="000E49B7" w14:paraId="537CBB8F" w14:textId="77777777" w:rsidTr="000E49B7">
        <w:trPr>
          <w:trHeight w:val="264"/>
        </w:trPr>
        <w:tc>
          <w:tcPr>
            <w:tcW w:w="5836" w:type="dxa"/>
            <w:tcBorders>
              <w:top w:val="nil"/>
              <w:left w:val="nil"/>
              <w:bottom w:val="nil"/>
              <w:right w:val="nil"/>
            </w:tcBorders>
            <w:shd w:val="clear" w:color="auto" w:fill="auto"/>
            <w:noWrap/>
            <w:vAlign w:val="bottom"/>
            <w:hideMark/>
          </w:tcPr>
          <w:p w14:paraId="11F8D57B"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Bachelor's Degree</w:t>
            </w:r>
          </w:p>
        </w:tc>
        <w:tc>
          <w:tcPr>
            <w:tcW w:w="1640" w:type="dxa"/>
            <w:tcBorders>
              <w:top w:val="nil"/>
              <w:left w:val="nil"/>
              <w:bottom w:val="nil"/>
              <w:right w:val="nil"/>
            </w:tcBorders>
            <w:shd w:val="clear" w:color="auto" w:fill="auto"/>
            <w:noWrap/>
            <w:vAlign w:val="bottom"/>
            <w:hideMark/>
          </w:tcPr>
          <w:p w14:paraId="1222934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-0.015*</w:t>
            </w:r>
          </w:p>
        </w:tc>
        <w:tc>
          <w:tcPr>
            <w:tcW w:w="1581" w:type="dxa"/>
            <w:tcBorders>
              <w:top w:val="nil"/>
              <w:left w:val="nil"/>
              <w:bottom w:val="nil"/>
              <w:right w:val="nil"/>
            </w:tcBorders>
            <w:shd w:val="clear" w:color="auto" w:fill="auto"/>
            <w:noWrap/>
            <w:vAlign w:val="bottom"/>
            <w:hideMark/>
          </w:tcPr>
          <w:p w14:paraId="537891C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0.003</w:t>
            </w:r>
          </w:p>
        </w:tc>
      </w:tr>
      <w:tr w:rsidR="000E49B7" w:rsidRPr="000E49B7" w14:paraId="2A834833" w14:textId="77777777" w:rsidTr="000E49B7">
        <w:trPr>
          <w:trHeight w:val="264"/>
        </w:trPr>
        <w:tc>
          <w:tcPr>
            <w:tcW w:w="5836" w:type="dxa"/>
            <w:tcBorders>
              <w:top w:val="nil"/>
              <w:left w:val="nil"/>
              <w:bottom w:val="nil"/>
              <w:right w:val="nil"/>
            </w:tcBorders>
            <w:shd w:val="clear" w:color="auto" w:fill="auto"/>
            <w:noWrap/>
            <w:vAlign w:val="bottom"/>
            <w:hideMark/>
          </w:tcPr>
          <w:p w14:paraId="73342EF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33FBC28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(0.008)</w:t>
            </w:r>
          </w:p>
        </w:tc>
        <w:tc>
          <w:tcPr>
            <w:tcW w:w="1581" w:type="dxa"/>
            <w:tcBorders>
              <w:top w:val="nil"/>
              <w:left w:val="nil"/>
              <w:bottom w:val="nil"/>
              <w:right w:val="nil"/>
            </w:tcBorders>
            <w:shd w:val="clear" w:color="auto" w:fill="auto"/>
            <w:noWrap/>
            <w:vAlign w:val="bottom"/>
            <w:hideMark/>
          </w:tcPr>
          <w:p w14:paraId="5C61AEF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(0.013)</w:t>
            </w:r>
          </w:p>
        </w:tc>
      </w:tr>
      <w:tr w:rsidR="000E49B7" w:rsidRPr="000E49B7" w14:paraId="3B8F47CA" w14:textId="77777777" w:rsidTr="000E49B7">
        <w:trPr>
          <w:trHeight w:val="264"/>
        </w:trPr>
        <w:tc>
          <w:tcPr>
            <w:tcW w:w="5836" w:type="dxa"/>
            <w:tcBorders>
              <w:top w:val="nil"/>
              <w:left w:val="nil"/>
              <w:bottom w:val="nil"/>
              <w:right w:val="nil"/>
            </w:tcBorders>
            <w:shd w:val="clear" w:color="auto" w:fill="auto"/>
            <w:noWrap/>
            <w:vAlign w:val="bottom"/>
            <w:hideMark/>
          </w:tcPr>
          <w:p w14:paraId="0975A505"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Advanced Degree</w:t>
            </w:r>
          </w:p>
        </w:tc>
        <w:tc>
          <w:tcPr>
            <w:tcW w:w="1640" w:type="dxa"/>
            <w:tcBorders>
              <w:top w:val="nil"/>
              <w:left w:val="nil"/>
              <w:bottom w:val="nil"/>
              <w:right w:val="nil"/>
            </w:tcBorders>
            <w:shd w:val="clear" w:color="auto" w:fill="auto"/>
            <w:noWrap/>
            <w:vAlign w:val="bottom"/>
            <w:hideMark/>
          </w:tcPr>
          <w:p w14:paraId="0148782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0.015*</w:t>
            </w:r>
          </w:p>
        </w:tc>
        <w:tc>
          <w:tcPr>
            <w:tcW w:w="1581" w:type="dxa"/>
            <w:tcBorders>
              <w:top w:val="nil"/>
              <w:left w:val="nil"/>
              <w:bottom w:val="nil"/>
              <w:right w:val="nil"/>
            </w:tcBorders>
            <w:shd w:val="clear" w:color="auto" w:fill="auto"/>
            <w:noWrap/>
            <w:vAlign w:val="bottom"/>
            <w:hideMark/>
          </w:tcPr>
          <w:p w14:paraId="543620A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-0.003</w:t>
            </w:r>
          </w:p>
        </w:tc>
      </w:tr>
      <w:tr w:rsidR="000E49B7" w:rsidRPr="000E49B7" w14:paraId="5D6FB287" w14:textId="77777777" w:rsidTr="000E49B7">
        <w:trPr>
          <w:trHeight w:val="264"/>
        </w:trPr>
        <w:tc>
          <w:tcPr>
            <w:tcW w:w="5836" w:type="dxa"/>
            <w:tcBorders>
              <w:top w:val="nil"/>
              <w:left w:val="nil"/>
              <w:bottom w:val="nil"/>
              <w:right w:val="nil"/>
            </w:tcBorders>
            <w:shd w:val="clear" w:color="auto" w:fill="auto"/>
            <w:noWrap/>
            <w:vAlign w:val="bottom"/>
            <w:hideMark/>
          </w:tcPr>
          <w:p w14:paraId="02C1DA4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61DF19E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(0.008)</w:t>
            </w:r>
          </w:p>
        </w:tc>
        <w:tc>
          <w:tcPr>
            <w:tcW w:w="1581" w:type="dxa"/>
            <w:tcBorders>
              <w:top w:val="nil"/>
              <w:left w:val="nil"/>
              <w:bottom w:val="nil"/>
              <w:right w:val="nil"/>
            </w:tcBorders>
            <w:shd w:val="clear" w:color="auto" w:fill="auto"/>
            <w:noWrap/>
            <w:vAlign w:val="bottom"/>
            <w:hideMark/>
          </w:tcPr>
          <w:p w14:paraId="46F26DE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(0.013)</w:t>
            </w:r>
          </w:p>
        </w:tc>
      </w:tr>
      <w:tr w:rsidR="000E49B7" w:rsidRPr="000E49B7" w14:paraId="277760D2" w14:textId="77777777" w:rsidTr="000E49B7">
        <w:trPr>
          <w:trHeight w:val="264"/>
        </w:trPr>
        <w:tc>
          <w:tcPr>
            <w:tcW w:w="5836" w:type="dxa"/>
            <w:tcBorders>
              <w:top w:val="nil"/>
              <w:left w:val="nil"/>
              <w:bottom w:val="nil"/>
              <w:right w:val="nil"/>
            </w:tcBorders>
            <w:shd w:val="clear" w:color="auto" w:fill="auto"/>
            <w:noWrap/>
            <w:vAlign w:val="bottom"/>
            <w:hideMark/>
          </w:tcPr>
          <w:p w14:paraId="2120BCF0"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Married</w:t>
            </w:r>
          </w:p>
        </w:tc>
        <w:tc>
          <w:tcPr>
            <w:tcW w:w="1640" w:type="dxa"/>
            <w:tcBorders>
              <w:top w:val="nil"/>
              <w:left w:val="nil"/>
              <w:bottom w:val="nil"/>
              <w:right w:val="nil"/>
            </w:tcBorders>
            <w:shd w:val="clear" w:color="auto" w:fill="auto"/>
            <w:noWrap/>
            <w:vAlign w:val="bottom"/>
            <w:hideMark/>
          </w:tcPr>
          <w:p w14:paraId="7FFCF92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-0.036***</w:t>
            </w:r>
          </w:p>
        </w:tc>
        <w:tc>
          <w:tcPr>
            <w:tcW w:w="1581" w:type="dxa"/>
            <w:tcBorders>
              <w:top w:val="nil"/>
              <w:left w:val="nil"/>
              <w:bottom w:val="nil"/>
              <w:right w:val="nil"/>
            </w:tcBorders>
            <w:shd w:val="clear" w:color="auto" w:fill="auto"/>
            <w:noWrap/>
            <w:vAlign w:val="bottom"/>
            <w:hideMark/>
          </w:tcPr>
          <w:p w14:paraId="26EE852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0.003</w:t>
            </w:r>
          </w:p>
        </w:tc>
      </w:tr>
      <w:tr w:rsidR="000E49B7" w:rsidRPr="000E49B7" w14:paraId="3690DB50" w14:textId="77777777" w:rsidTr="000E49B7">
        <w:trPr>
          <w:trHeight w:val="264"/>
        </w:trPr>
        <w:tc>
          <w:tcPr>
            <w:tcW w:w="5836" w:type="dxa"/>
            <w:tcBorders>
              <w:top w:val="nil"/>
              <w:left w:val="nil"/>
              <w:bottom w:val="nil"/>
              <w:right w:val="nil"/>
            </w:tcBorders>
            <w:shd w:val="clear" w:color="auto" w:fill="auto"/>
            <w:noWrap/>
            <w:vAlign w:val="bottom"/>
            <w:hideMark/>
          </w:tcPr>
          <w:p w14:paraId="29CA137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485A428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(0.011)</w:t>
            </w:r>
          </w:p>
        </w:tc>
        <w:tc>
          <w:tcPr>
            <w:tcW w:w="1581" w:type="dxa"/>
            <w:tcBorders>
              <w:top w:val="nil"/>
              <w:left w:val="nil"/>
              <w:bottom w:val="nil"/>
              <w:right w:val="nil"/>
            </w:tcBorders>
            <w:shd w:val="clear" w:color="auto" w:fill="auto"/>
            <w:noWrap/>
            <w:vAlign w:val="bottom"/>
            <w:hideMark/>
          </w:tcPr>
          <w:p w14:paraId="49B8188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w:t>
            </w:r>
          </w:p>
        </w:tc>
      </w:tr>
      <w:tr w:rsidR="000E49B7" w:rsidRPr="000E49B7" w14:paraId="1A761370" w14:textId="77777777" w:rsidTr="000E49B7">
        <w:trPr>
          <w:trHeight w:val="264"/>
        </w:trPr>
        <w:tc>
          <w:tcPr>
            <w:tcW w:w="5836" w:type="dxa"/>
            <w:tcBorders>
              <w:top w:val="nil"/>
              <w:left w:val="nil"/>
              <w:bottom w:val="nil"/>
              <w:right w:val="nil"/>
            </w:tcBorders>
            <w:shd w:val="clear" w:color="auto" w:fill="auto"/>
            <w:noWrap/>
            <w:vAlign w:val="bottom"/>
            <w:hideMark/>
          </w:tcPr>
          <w:p w14:paraId="6E3A6CB8"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White</w:t>
            </w:r>
          </w:p>
        </w:tc>
        <w:tc>
          <w:tcPr>
            <w:tcW w:w="1640" w:type="dxa"/>
            <w:tcBorders>
              <w:top w:val="nil"/>
              <w:left w:val="nil"/>
              <w:bottom w:val="nil"/>
              <w:right w:val="nil"/>
            </w:tcBorders>
            <w:shd w:val="clear" w:color="auto" w:fill="auto"/>
            <w:noWrap/>
            <w:vAlign w:val="bottom"/>
            <w:hideMark/>
          </w:tcPr>
          <w:p w14:paraId="5269B4D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-0.027</w:t>
            </w:r>
          </w:p>
        </w:tc>
        <w:tc>
          <w:tcPr>
            <w:tcW w:w="1581" w:type="dxa"/>
            <w:tcBorders>
              <w:top w:val="nil"/>
              <w:left w:val="nil"/>
              <w:bottom w:val="nil"/>
              <w:right w:val="nil"/>
            </w:tcBorders>
            <w:shd w:val="clear" w:color="auto" w:fill="auto"/>
            <w:noWrap/>
            <w:vAlign w:val="bottom"/>
            <w:hideMark/>
          </w:tcPr>
          <w:p w14:paraId="3C4ABE5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-0.059**</w:t>
            </w:r>
          </w:p>
        </w:tc>
      </w:tr>
      <w:tr w:rsidR="000E49B7" w:rsidRPr="000E49B7" w14:paraId="53A58D57" w14:textId="77777777" w:rsidTr="000E49B7">
        <w:trPr>
          <w:trHeight w:val="264"/>
        </w:trPr>
        <w:tc>
          <w:tcPr>
            <w:tcW w:w="5836" w:type="dxa"/>
            <w:tcBorders>
              <w:top w:val="nil"/>
              <w:left w:val="nil"/>
              <w:bottom w:val="nil"/>
              <w:right w:val="nil"/>
            </w:tcBorders>
            <w:shd w:val="clear" w:color="auto" w:fill="auto"/>
            <w:noWrap/>
            <w:vAlign w:val="bottom"/>
            <w:hideMark/>
          </w:tcPr>
          <w:p w14:paraId="3ED469C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75EA088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(0.028)</w:t>
            </w:r>
          </w:p>
        </w:tc>
        <w:tc>
          <w:tcPr>
            <w:tcW w:w="1581" w:type="dxa"/>
            <w:tcBorders>
              <w:top w:val="nil"/>
              <w:left w:val="nil"/>
              <w:bottom w:val="nil"/>
              <w:right w:val="nil"/>
            </w:tcBorders>
            <w:shd w:val="clear" w:color="auto" w:fill="auto"/>
            <w:noWrap/>
            <w:vAlign w:val="bottom"/>
            <w:hideMark/>
          </w:tcPr>
          <w:p w14:paraId="2E56D13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(0.029)</w:t>
            </w:r>
          </w:p>
        </w:tc>
      </w:tr>
      <w:tr w:rsidR="000E49B7" w:rsidRPr="000E49B7" w14:paraId="2EFA8E74" w14:textId="77777777" w:rsidTr="000E49B7">
        <w:trPr>
          <w:trHeight w:val="264"/>
        </w:trPr>
        <w:tc>
          <w:tcPr>
            <w:tcW w:w="5836" w:type="dxa"/>
            <w:tcBorders>
              <w:top w:val="nil"/>
              <w:left w:val="nil"/>
              <w:bottom w:val="nil"/>
              <w:right w:val="nil"/>
            </w:tcBorders>
            <w:shd w:val="clear" w:color="auto" w:fill="auto"/>
            <w:noWrap/>
            <w:vAlign w:val="bottom"/>
            <w:hideMark/>
          </w:tcPr>
          <w:p w14:paraId="112C1255"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Black</w:t>
            </w:r>
          </w:p>
        </w:tc>
        <w:tc>
          <w:tcPr>
            <w:tcW w:w="1640" w:type="dxa"/>
            <w:tcBorders>
              <w:top w:val="nil"/>
              <w:left w:val="nil"/>
              <w:bottom w:val="nil"/>
              <w:right w:val="nil"/>
            </w:tcBorders>
            <w:shd w:val="clear" w:color="auto" w:fill="auto"/>
            <w:noWrap/>
            <w:vAlign w:val="bottom"/>
            <w:hideMark/>
          </w:tcPr>
          <w:p w14:paraId="62C8048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-0.035***</w:t>
            </w:r>
          </w:p>
        </w:tc>
        <w:tc>
          <w:tcPr>
            <w:tcW w:w="1581" w:type="dxa"/>
            <w:tcBorders>
              <w:top w:val="nil"/>
              <w:left w:val="nil"/>
              <w:bottom w:val="nil"/>
              <w:right w:val="nil"/>
            </w:tcBorders>
            <w:shd w:val="clear" w:color="auto" w:fill="auto"/>
            <w:noWrap/>
            <w:vAlign w:val="bottom"/>
            <w:hideMark/>
          </w:tcPr>
          <w:p w14:paraId="2E63352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0.048</w:t>
            </w:r>
          </w:p>
        </w:tc>
      </w:tr>
      <w:tr w:rsidR="000E49B7" w:rsidRPr="000E49B7" w14:paraId="45118023" w14:textId="77777777" w:rsidTr="000E49B7">
        <w:trPr>
          <w:trHeight w:val="264"/>
        </w:trPr>
        <w:tc>
          <w:tcPr>
            <w:tcW w:w="5836" w:type="dxa"/>
            <w:tcBorders>
              <w:top w:val="nil"/>
              <w:left w:val="nil"/>
              <w:bottom w:val="nil"/>
              <w:right w:val="nil"/>
            </w:tcBorders>
            <w:shd w:val="clear" w:color="auto" w:fill="auto"/>
            <w:noWrap/>
            <w:vAlign w:val="bottom"/>
            <w:hideMark/>
          </w:tcPr>
          <w:p w14:paraId="5D37D2F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41A4BA2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(0.008)</w:t>
            </w:r>
          </w:p>
        </w:tc>
        <w:tc>
          <w:tcPr>
            <w:tcW w:w="1581" w:type="dxa"/>
            <w:tcBorders>
              <w:top w:val="nil"/>
              <w:left w:val="nil"/>
              <w:bottom w:val="nil"/>
              <w:right w:val="nil"/>
            </w:tcBorders>
            <w:shd w:val="clear" w:color="auto" w:fill="auto"/>
            <w:noWrap/>
            <w:vAlign w:val="bottom"/>
            <w:hideMark/>
          </w:tcPr>
          <w:p w14:paraId="67871A8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(0.037)</w:t>
            </w:r>
          </w:p>
        </w:tc>
      </w:tr>
      <w:tr w:rsidR="000E49B7" w:rsidRPr="000E49B7" w14:paraId="399CA3FF" w14:textId="77777777" w:rsidTr="000E49B7">
        <w:trPr>
          <w:trHeight w:val="264"/>
        </w:trPr>
        <w:tc>
          <w:tcPr>
            <w:tcW w:w="5836" w:type="dxa"/>
            <w:tcBorders>
              <w:top w:val="nil"/>
              <w:left w:val="nil"/>
              <w:bottom w:val="nil"/>
              <w:right w:val="nil"/>
            </w:tcBorders>
            <w:shd w:val="clear" w:color="auto" w:fill="auto"/>
            <w:noWrap/>
            <w:vAlign w:val="bottom"/>
            <w:hideMark/>
          </w:tcPr>
          <w:p w14:paraId="4B6DA96A"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Hispanic</w:t>
            </w:r>
          </w:p>
        </w:tc>
        <w:tc>
          <w:tcPr>
            <w:tcW w:w="1640" w:type="dxa"/>
            <w:tcBorders>
              <w:top w:val="nil"/>
              <w:left w:val="nil"/>
              <w:bottom w:val="nil"/>
              <w:right w:val="nil"/>
            </w:tcBorders>
            <w:shd w:val="clear" w:color="auto" w:fill="auto"/>
            <w:noWrap/>
            <w:vAlign w:val="bottom"/>
            <w:hideMark/>
          </w:tcPr>
          <w:p w14:paraId="4909142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0.004</w:t>
            </w:r>
          </w:p>
        </w:tc>
        <w:tc>
          <w:tcPr>
            <w:tcW w:w="1581" w:type="dxa"/>
            <w:tcBorders>
              <w:top w:val="nil"/>
              <w:left w:val="nil"/>
              <w:bottom w:val="nil"/>
              <w:right w:val="nil"/>
            </w:tcBorders>
            <w:shd w:val="clear" w:color="auto" w:fill="auto"/>
            <w:noWrap/>
            <w:vAlign w:val="bottom"/>
            <w:hideMark/>
          </w:tcPr>
          <w:p w14:paraId="7C573BC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0.000</w:t>
            </w:r>
          </w:p>
        </w:tc>
      </w:tr>
      <w:tr w:rsidR="000E49B7" w:rsidRPr="000E49B7" w14:paraId="5D14CEF4" w14:textId="77777777" w:rsidTr="000E49B7">
        <w:trPr>
          <w:trHeight w:val="264"/>
        </w:trPr>
        <w:tc>
          <w:tcPr>
            <w:tcW w:w="5836" w:type="dxa"/>
            <w:tcBorders>
              <w:top w:val="nil"/>
              <w:left w:val="nil"/>
              <w:bottom w:val="nil"/>
              <w:right w:val="nil"/>
            </w:tcBorders>
            <w:shd w:val="clear" w:color="auto" w:fill="auto"/>
            <w:noWrap/>
            <w:vAlign w:val="bottom"/>
            <w:hideMark/>
          </w:tcPr>
          <w:p w14:paraId="494C46B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0E42264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(0.012)</w:t>
            </w:r>
          </w:p>
        </w:tc>
        <w:tc>
          <w:tcPr>
            <w:tcW w:w="1581" w:type="dxa"/>
            <w:tcBorders>
              <w:top w:val="nil"/>
              <w:left w:val="nil"/>
              <w:bottom w:val="nil"/>
              <w:right w:val="nil"/>
            </w:tcBorders>
            <w:shd w:val="clear" w:color="auto" w:fill="auto"/>
            <w:noWrap/>
            <w:vAlign w:val="bottom"/>
            <w:hideMark/>
          </w:tcPr>
          <w:p w14:paraId="1AC39AC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(0.004)</w:t>
            </w:r>
          </w:p>
        </w:tc>
      </w:tr>
      <w:tr w:rsidR="000E49B7" w:rsidRPr="000E49B7" w14:paraId="3FA40630" w14:textId="77777777" w:rsidTr="000E49B7">
        <w:trPr>
          <w:trHeight w:val="264"/>
        </w:trPr>
        <w:tc>
          <w:tcPr>
            <w:tcW w:w="5836" w:type="dxa"/>
            <w:tcBorders>
              <w:top w:val="nil"/>
              <w:left w:val="nil"/>
              <w:bottom w:val="nil"/>
              <w:right w:val="nil"/>
            </w:tcBorders>
            <w:shd w:val="clear" w:color="auto" w:fill="auto"/>
            <w:noWrap/>
            <w:vAlign w:val="bottom"/>
            <w:hideMark/>
          </w:tcPr>
          <w:p w14:paraId="0254559D"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Other Race</w:t>
            </w:r>
          </w:p>
        </w:tc>
        <w:tc>
          <w:tcPr>
            <w:tcW w:w="1640" w:type="dxa"/>
            <w:tcBorders>
              <w:top w:val="nil"/>
              <w:left w:val="nil"/>
              <w:bottom w:val="nil"/>
              <w:right w:val="nil"/>
            </w:tcBorders>
            <w:shd w:val="clear" w:color="auto" w:fill="auto"/>
            <w:noWrap/>
            <w:vAlign w:val="bottom"/>
            <w:hideMark/>
          </w:tcPr>
          <w:p w14:paraId="78651BE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0.057***</w:t>
            </w:r>
          </w:p>
        </w:tc>
        <w:tc>
          <w:tcPr>
            <w:tcW w:w="1581" w:type="dxa"/>
            <w:tcBorders>
              <w:top w:val="nil"/>
              <w:left w:val="nil"/>
              <w:bottom w:val="nil"/>
              <w:right w:val="nil"/>
            </w:tcBorders>
            <w:shd w:val="clear" w:color="auto" w:fill="auto"/>
            <w:noWrap/>
            <w:vAlign w:val="bottom"/>
            <w:hideMark/>
          </w:tcPr>
          <w:p w14:paraId="59EBA19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0.011</w:t>
            </w:r>
          </w:p>
        </w:tc>
      </w:tr>
      <w:tr w:rsidR="000E49B7" w:rsidRPr="000E49B7" w14:paraId="1D662F3F" w14:textId="77777777" w:rsidTr="000E49B7">
        <w:trPr>
          <w:trHeight w:val="264"/>
        </w:trPr>
        <w:tc>
          <w:tcPr>
            <w:tcW w:w="5836" w:type="dxa"/>
            <w:tcBorders>
              <w:top w:val="nil"/>
              <w:left w:val="nil"/>
              <w:bottom w:val="nil"/>
              <w:right w:val="nil"/>
            </w:tcBorders>
            <w:shd w:val="clear" w:color="auto" w:fill="auto"/>
            <w:noWrap/>
            <w:vAlign w:val="bottom"/>
            <w:hideMark/>
          </w:tcPr>
          <w:p w14:paraId="128E267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7266AAE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(0.018)</w:t>
            </w:r>
          </w:p>
        </w:tc>
        <w:tc>
          <w:tcPr>
            <w:tcW w:w="1581" w:type="dxa"/>
            <w:tcBorders>
              <w:top w:val="nil"/>
              <w:left w:val="nil"/>
              <w:bottom w:val="nil"/>
              <w:right w:val="nil"/>
            </w:tcBorders>
            <w:shd w:val="clear" w:color="auto" w:fill="auto"/>
            <w:noWrap/>
            <w:vAlign w:val="bottom"/>
            <w:hideMark/>
          </w:tcPr>
          <w:p w14:paraId="67B81E1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(0.014)</w:t>
            </w:r>
          </w:p>
        </w:tc>
      </w:tr>
      <w:tr w:rsidR="000E49B7" w:rsidRPr="000E49B7" w14:paraId="3AADCC24" w14:textId="77777777" w:rsidTr="000E49B7">
        <w:trPr>
          <w:trHeight w:val="264"/>
        </w:trPr>
        <w:tc>
          <w:tcPr>
            <w:tcW w:w="5836" w:type="dxa"/>
            <w:tcBorders>
              <w:top w:val="nil"/>
              <w:left w:val="nil"/>
              <w:bottom w:val="nil"/>
              <w:right w:val="nil"/>
            </w:tcBorders>
            <w:shd w:val="clear" w:color="auto" w:fill="auto"/>
            <w:noWrap/>
            <w:vAlign w:val="bottom"/>
            <w:hideMark/>
          </w:tcPr>
          <w:p w14:paraId="742F38C9"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No. of Children</w:t>
            </w:r>
          </w:p>
        </w:tc>
        <w:tc>
          <w:tcPr>
            <w:tcW w:w="1640" w:type="dxa"/>
            <w:tcBorders>
              <w:top w:val="nil"/>
              <w:left w:val="nil"/>
              <w:bottom w:val="nil"/>
              <w:right w:val="nil"/>
            </w:tcBorders>
            <w:shd w:val="clear" w:color="auto" w:fill="auto"/>
            <w:noWrap/>
            <w:vAlign w:val="bottom"/>
            <w:hideMark/>
          </w:tcPr>
          <w:p w14:paraId="52A25A0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-0.063**</w:t>
            </w:r>
          </w:p>
        </w:tc>
        <w:tc>
          <w:tcPr>
            <w:tcW w:w="1581" w:type="dxa"/>
            <w:tcBorders>
              <w:top w:val="nil"/>
              <w:left w:val="nil"/>
              <w:bottom w:val="nil"/>
              <w:right w:val="nil"/>
            </w:tcBorders>
            <w:shd w:val="clear" w:color="auto" w:fill="auto"/>
            <w:noWrap/>
            <w:vAlign w:val="bottom"/>
            <w:hideMark/>
          </w:tcPr>
          <w:p w14:paraId="396389E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0.049***</w:t>
            </w:r>
          </w:p>
        </w:tc>
      </w:tr>
      <w:tr w:rsidR="000E49B7" w:rsidRPr="000E49B7" w14:paraId="61F5837A" w14:textId="77777777" w:rsidTr="000E49B7">
        <w:trPr>
          <w:trHeight w:val="264"/>
        </w:trPr>
        <w:tc>
          <w:tcPr>
            <w:tcW w:w="5836" w:type="dxa"/>
            <w:tcBorders>
              <w:top w:val="nil"/>
              <w:left w:val="nil"/>
              <w:bottom w:val="nil"/>
              <w:right w:val="nil"/>
            </w:tcBorders>
            <w:shd w:val="clear" w:color="auto" w:fill="auto"/>
            <w:noWrap/>
            <w:vAlign w:val="bottom"/>
            <w:hideMark/>
          </w:tcPr>
          <w:p w14:paraId="387D528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3AD3C98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(0.028)</w:t>
            </w:r>
          </w:p>
        </w:tc>
        <w:tc>
          <w:tcPr>
            <w:tcW w:w="1581" w:type="dxa"/>
            <w:tcBorders>
              <w:top w:val="nil"/>
              <w:left w:val="nil"/>
              <w:bottom w:val="nil"/>
              <w:right w:val="nil"/>
            </w:tcBorders>
            <w:shd w:val="clear" w:color="auto" w:fill="auto"/>
            <w:noWrap/>
            <w:vAlign w:val="bottom"/>
            <w:hideMark/>
          </w:tcPr>
          <w:p w14:paraId="69E71AA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(0.015)</w:t>
            </w:r>
          </w:p>
        </w:tc>
      </w:tr>
      <w:tr w:rsidR="000E49B7" w:rsidRPr="000E49B7" w14:paraId="6CEB804C" w14:textId="77777777" w:rsidTr="000E49B7">
        <w:trPr>
          <w:trHeight w:val="264"/>
        </w:trPr>
        <w:tc>
          <w:tcPr>
            <w:tcW w:w="5836" w:type="dxa"/>
            <w:tcBorders>
              <w:top w:val="nil"/>
              <w:left w:val="nil"/>
              <w:bottom w:val="nil"/>
              <w:right w:val="nil"/>
            </w:tcBorders>
            <w:shd w:val="clear" w:color="auto" w:fill="auto"/>
            <w:noWrap/>
            <w:vAlign w:val="bottom"/>
            <w:hideMark/>
          </w:tcPr>
          <w:p w14:paraId="22C1DC3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640" w:type="dxa"/>
            <w:tcBorders>
              <w:top w:val="nil"/>
              <w:left w:val="nil"/>
              <w:bottom w:val="nil"/>
              <w:right w:val="nil"/>
            </w:tcBorders>
            <w:shd w:val="clear" w:color="auto" w:fill="auto"/>
            <w:noWrap/>
            <w:vAlign w:val="bottom"/>
            <w:hideMark/>
          </w:tcPr>
          <w:p w14:paraId="022A6F0C"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81" w:type="dxa"/>
            <w:tcBorders>
              <w:top w:val="nil"/>
              <w:left w:val="nil"/>
              <w:bottom w:val="nil"/>
              <w:right w:val="nil"/>
            </w:tcBorders>
            <w:shd w:val="clear" w:color="auto" w:fill="auto"/>
            <w:noWrap/>
            <w:vAlign w:val="bottom"/>
            <w:hideMark/>
          </w:tcPr>
          <w:p w14:paraId="30F2C7E6"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r>
      <w:tr w:rsidR="000E49B7" w:rsidRPr="000E49B7" w14:paraId="2B3126F7" w14:textId="77777777" w:rsidTr="000E49B7">
        <w:trPr>
          <w:trHeight w:val="275"/>
        </w:trPr>
        <w:tc>
          <w:tcPr>
            <w:tcW w:w="5836" w:type="dxa"/>
            <w:tcBorders>
              <w:top w:val="nil"/>
              <w:left w:val="nil"/>
              <w:bottom w:val="double" w:sz="6" w:space="0" w:color="auto"/>
              <w:right w:val="nil"/>
            </w:tcBorders>
            <w:shd w:val="clear" w:color="auto" w:fill="auto"/>
            <w:noWrap/>
            <w:vAlign w:val="bottom"/>
            <w:hideMark/>
          </w:tcPr>
          <w:p w14:paraId="21A5C7DE"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1640" w:type="dxa"/>
            <w:tcBorders>
              <w:top w:val="nil"/>
              <w:left w:val="nil"/>
              <w:bottom w:val="double" w:sz="6" w:space="0" w:color="auto"/>
              <w:right w:val="nil"/>
            </w:tcBorders>
            <w:shd w:val="clear" w:color="auto" w:fill="auto"/>
            <w:noWrap/>
            <w:vAlign w:val="bottom"/>
            <w:hideMark/>
          </w:tcPr>
          <w:p w14:paraId="6FF1449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3,359,929</w:t>
            </w:r>
          </w:p>
        </w:tc>
        <w:tc>
          <w:tcPr>
            <w:tcW w:w="1581" w:type="dxa"/>
            <w:tcBorders>
              <w:top w:val="nil"/>
              <w:left w:val="nil"/>
              <w:bottom w:val="double" w:sz="6" w:space="0" w:color="auto"/>
              <w:right w:val="nil"/>
            </w:tcBorders>
            <w:shd w:val="clear" w:color="auto" w:fill="auto"/>
            <w:noWrap/>
            <w:vAlign w:val="bottom"/>
            <w:hideMark/>
          </w:tcPr>
          <w:p w14:paraId="15E271B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971,064</w:t>
            </w:r>
          </w:p>
        </w:tc>
      </w:tr>
      <w:tr w:rsidR="000E49B7" w:rsidRPr="000E49B7" w14:paraId="2B6D4833" w14:textId="77777777" w:rsidTr="000E49B7">
        <w:trPr>
          <w:trHeight w:val="288"/>
        </w:trPr>
        <w:tc>
          <w:tcPr>
            <w:tcW w:w="5836" w:type="dxa"/>
            <w:tcBorders>
              <w:top w:val="nil"/>
              <w:left w:val="nil"/>
              <w:bottom w:val="double" w:sz="6" w:space="0" w:color="auto"/>
              <w:right w:val="nil"/>
            </w:tcBorders>
            <w:shd w:val="clear" w:color="auto" w:fill="auto"/>
            <w:noWrap/>
            <w:vAlign w:val="bottom"/>
            <w:hideMark/>
          </w:tcPr>
          <w:p w14:paraId="17B08F06"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CZ×Year</w:t>
            </w:r>
            <w:proofErr w:type="spellEnd"/>
            <w:r w:rsidRPr="000E49B7">
              <w:rPr>
                <w:rFonts w:ascii="Times New Roman" w:eastAsia="Malgun Gothic" w:hAnsi="Times New Roman" w:cs="Times New Roman"/>
                <w:color w:val="000000"/>
                <w:sz w:val="24"/>
                <w:szCs w:val="24"/>
              </w:rPr>
              <w:t xml:space="preserve"> FE</w:t>
            </w:r>
          </w:p>
        </w:tc>
        <w:tc>
          <w:tcPr>
            <w:tcW w:w="1640" w:type="dxa"/>
            <w:tcBorders>
              <w:top w:val="nil"/>
              <w:left w:val="nil"/>
              <w:bottom w:val="double" w:sz="6" w:space="0" w:color="auto"/>
              <w:right w:val="nil"/>
            </w:tcBorders>
            <w:shd w:val="clear" w:color="auto" w:fill="auto"/>
            <w:noWrap/>
            <w:vAlign w:val="bottom"/>
            <w:hideMark/>
          </w:tcPr>
          <w:p w14:paraId="6B6BA2F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N</w:t>
            </w:r>
          </w:p>
        </w:tc>
        <w:tc>
          <w:tcPr>
            <w:tcW w:w="1581" w:type="dxa"/>
            <w:tcBorders>
              <w:top w:val="nil"/>
              <w:left w:val="nil"/>
              <w:bottom w:val="double" w:sz="6" w:space="0" w:color="auto"/>
              <w:right w:val="nil"/>
            </w:tcBorders>
            <w:shd w:val="clear" w:color="auto" w:fill="auto"/>
            <w:noWrap/>
            <w:vAlign w:val="bottom"/>
            <w:hideMark/>
          </w:tcPr>
          <w:p w14:paraId="1B58742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78F46FD0" w14:textId="77777777" w:rsidTr="000E49B7">
        <w:trPr>
          <w:trHeight w:val="1268"/>
        </w:trPr>
        <w:tc>
          <w:tcPr>
            <w:tcW w:w="9058" w:type="dxa"/>
            <w:gridSpan w:val="3"/>
            <w:tcBorders>
              <w:top w:val="double" w:sz="6" w:space="0" w:color="auto"/>
              <w:left w:val="nil"/>
              <w:bottom w:val="nil"/>
              <w:right w:val="nil"/>
            </w:tcBorders>
            <w:shd w:val="clear" w:color="auto" w:fill="auto"/>
            <w:hideMark/>
          </w:tcPr>
          <w:p w14:paraId="1A77974F" w14:textId="107D3BDA" w:rsidR="000E49B7" w:rsidRPr="000E49B7" w:rsidRDefault="000E49B7" w:rsidP="000E49B7">
            <w:pPr>
              <w:spacing w:after="0" w:line="240" w:lineRule="auto"/>
              <w:jc w:val="both"/>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lastRenderedPageBreak/>
              <w:t xml:space="preserve">Notes: </w:t>
            </w:r>
            <w:r w:rsidRPr="000E49B7">
              <w:rPr>
                <w:rFonts w:ascii="Times New Roman" w:eastAsia="Malgun Gothic" w:hAnsi="Times New Roman" w:cs="Times New Roman"/>
                <w:color w:val="000000"/>
                <w:sz w:val="20"/>
                <w:szCs w:val="20"/>
              </w:rPr>
              <w:t>The dependent variables are a vector of CZ characteristics. Each cell presents estimates from a</w:t>
            </w:r>
            <w:r>
              <w:rPr>
                <w:rFonts w:ascii="Times New Roman" w:eastAsia="Malgun Gothic" w:hAnsi="Times New Roman" w:cs="Times New Roman"/>
                <w:color w:val="000000"/>
                <w:sz w:val="20"/>
                <w:szCs w:val="20"/>
              </w:rPr>
              <w:t xml:space="preserve"> </w:t>
            </w:r>
            <w:r w:rsidRPr="000E49B7">
              <w:rPr>
                <w:rFonts w:ascii="Times New Roman" w:eastAsia="Malgun Gothic" w:hAnsi="Times New Roman" w:cs="Times New Roman"/>
                <w:color w:val="000000"/>
                <w:sz w:val="20"/>
                <w:szCs w:val="20"/>
              </w:rPr>
              <w:t>separate regression based on Equation (2). Column 1 presents the results estimated making an overall comparison</w:t>
            </w:r>
            <w:r>
              <w:rPr>
                <w:rFonts w:ascii="Times New Roman" w:eastAsia="Malgun Gothic" w:hAnsi="Times New Roman" w:cs="Times New Roman"/>
                <w:color w:val="000000"/>
                <w:sz w:val="20"/>
                <w:szCs w:val="20"/>
              </w:rPr>
              <w:t xml:space="preserve"> </w:t>
            </w:r>
            <w:r w:rsidRPr="000E49B7">
              <w:rPr>
                <w:rFonts w:ascii="Times New Roman" w:eastAsia="Malgun Gothic" w:hAnsi="Times New Roman" w:cs="Times New Roman"/>
                <w:color w:val="000000"/>
                <w:sz w:val="20"/>
                <w:szCs w:val="20"/>
              </w:rPr>
              <w:t>between areas with or without mandatory CB laws. Column 2 contains the results that uses CZ-by-year FEs,</w:t>
            </w:r>
            <w:r>
              <w:rPr>
                <w:rFonts w:ascii="Times New Roman" w:eastAsia="Malgun Gothic" w:hAnsi="Times New Roman" w:cs="Times New Roman"/>
                <w:color w:val="000000"/>
                <w:sz w:val="20"/>
                <w:szCs w:val="20"/>
              </w:rPr>
              <w:t xml:space="preserve"> </w:t>
            </w:r>
            <w:r w:rsidRPr="000E49B7">
              <w:rPr>
                <w:rFonts w:ascii="Times New Roman" w:eastAsia="Malgun Gothic" w:hAnsi="Times New Roman" w:cs="Times New Roman"/>
                <w:color w:val="000000"/>
                <w:sz w:val="20"/>
                <w:szCs w:val="20"/>
              </w:rPr>
              <w:t>which allow us to compare characteristics in CB and non-CB areas within a CZ. Standard errors are clustered at</w:t>
            </w:r>
            <w:r>
              <w:rPr>
                <w:rFonts w:ascii="Times New Roman" w:eastAsia="Malgun Gothic" w:hAnsi="Times New Roman" w:cs="Times New Roman"/>
                <w:color w:val="000000"/>
                <w:sz w:val="20"/>
                <w:szCs w:val="20"/>
              </w:rPr>
              <w:t xml:space="preserve"> </w:t>
            </w:r>
            <w:r w:rsidRPr="000E49B7">
              <w:rPr>
                <w:rFonts w:ascii="Times New Roman" w:eastAsia="Malgun Gothic" w:hAnsi="Times New Roman" w:cs="Times New Roman"/>
                <w:color w:val="000000"/>
                <w:sz w:val="20"/>
                <w:szCs w:val="20"/>
              </w:rPr>
              <w:t xml:space="preserve">the CZ level. * </w:t>
            </w:r>
            <w:proofErr w:type="gramStart"/>
            <w:r w:rsidRPr="000E49B7">
              <w:rPr>
                <w:rFonts w:ascii="Times New Roman" w:eastAsia="Malgun Gothic" w:hAnsi="Times New Roman" w:cs="Times New Roman"/>
                <w:color w:val="000000"/>
                <w:sz w:val="20"/>
                <w:szCs w:val="20"/>
              </w:rPr>
              <w:t>denotes</w:t>
            </w:r>
            <w:proofErr w:type="gramEnd"/>
            <w:r w:rsidRPr="000E49B7">
              <w:rPr>
                <w:rFonts w:ascii="Times New Roman" w:eastAsia="Malgun Gothic" w:hAnsi="Times New Roman" w:cs="Times New Roman"/>
                <w:color w:val="000000"/>
                <w:sz w:val="20"/>
                <w:szCs w:val="20"/>
              </w:rPr>
              <w:t xml:space="preserve"> significance at the ten percent level, ** denotes at the five percent level, and *** denotes</w:t>
            </w:r>
            <w:r>
              <w:rPr>
                <w:rFonts w:ascii="Times New Roman" w:eastAsia="Malgun Gothic" w:hAnsi="Times New Roman" w:cs="Times New Roman"/>
                <w:color w:val="000000"/>
                <w:sz w:val="20"/>
                <w:szCs w:val="20"/>
              </w:rPr>
              <w:t xml:space="preserve"> </w:t>
            </w:r>
            <w:r w:rsidRPr="000E49B7">
              <w:rPr>
                <w:rFonts w:ascii="Times New Roman" w:eastAsia="Malgun Gothic" w:hAnsi="Times New Roman" w:cs="Times New Roman"/>
                <w:color w:val="000000"/>
                <w:sz w:val="20"/>
                <w:szCs w:val="20"/>
              </w:rPr>
              <w:t>at the one percent level.</w:t>
            </w:r>
          </w:p>
        </w:tc>
      </w:tr>
    </w:tbl>
    <w:p w14:paraId="6C5C9DD2" w14:textId="3FCB4272" w:rsidR="000E49B7" w:rsidRDefault="000E49B7"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pPr>
    </w:p>
    <w:p w14:paraId="73C0E042" w14:textId="77777777" w:rsidR="000E49B7" w:rsidRDefault="000E49B7">
      <w:pPr>
        <w:jc w:val="both"/>
        <w:rPr>
          <w:rFonts w:ascii="Times New Roman" w:eastAsia="CMR12" w:hAnsi="Times New Roman" w:cs="Times New Roman"/>
          <w:sz w:val="24"/>
          <w:szCs w:val="24"/>
          <w14:ligatures w14:val="standardContextual"/>
        </w:rPr>
      </w:pPr>
      <w:r>
        <w:rPr>
          <w:rFonts w:ascii="Times New Roman" w:eastAsia="CMR12" w:hAnsi="Times New Roman" w:cs="Times New Roman"/>
          <w:sz w:val="24"/>
          <w:szCs w:val="24"/>
          <w14:ligatures w14:val="standardContextual"/>
        </w:rPr>
        <w:br w:type="page"/>
      </w:r>
    </w:p>
    <w:p w14:paraId="4B4A641A" w14:textId="77777777" w:rsidR="000E49B7" w:rsidRDefault="000E49B7" w:rsidP="000E49B7">
      <w:pPr>
        <w:spacing w:after="0" w:line="240" w:lineRule="auto"/>
        <w:jc w:val="center"/>
        <w:rPr>
          <w:rFonts w:ascii="Times New Roman" w:eastAsia="Malgun Gothic" w:hAnsi="Times New Roman" w:cs="Times New Roman"/>
          <w:b/>
          <w:bCs/>
          <w:color w:val="000000"/>
          <w:sz w:val="24"/>
          <w:szCs w:val="24"/>
        </w:rPr>
        <w:sectPr w:rsidR="000E49B7">
          <w:pgSz w:w="11906" w:h="16838"/>
          <w:pgMar w:top="1440" w:right="1440" w:bottom="1440" w:left="1440" w:header="851" w:footer="992" w:gutter="0"/>
          <w:cols w:space="425"/>
          <w:docGrid w:linePitch="360"/>
        </w:sectPr>
      </w:pPr>
    </w:p>
    <w:tbl>
      <w:tblPr>
        <w:tblW w:w="11283" w:type="dxa"/>
        <w:jc w:val="center"/>
        <w:tblCellMar>
          <w:left w:w="99" w:type="dxa"/>
          <w:right w:w="99" w:type="dxa"/>
        </w:tblCellMar>
        <w:tblLook w:val="04A0" w:firstRow="1" w:lastRow="0" w:firstColumn="1" w:lastColumn="0" w:noHBand="0" w:noVBand="1"/>
      </w:tblPr>
      <w:tblGrid>
        <w:gridCol w:w="2151"/>
        <w:gridCol w:w="1464"/>
        <w:gridCol w:w="1464"/>
        <w:gridCol w:w="1638"/>
        <w:gridCol w:w="1638"/>
        <w:gridCol w:w="1464"/>
        <w:gridCol w:w="1464"/>
      </w:tblGrid>
      <w:tr w:rsidR="000E49B7" w:rsidRPr="000E49B7" w14:paraId="38FA53C2" w14:textId="77777777" w:rsidTr="000E49B7">
        <w:trPr>
          <w:trHeight w:val="345"/>
          <w:jc w:val="center"/>
        </w:trPr>
        <w:tc>
          <w:tcPr>
            <w:tcW w:w="11283" w:type="dxa"/>
            <w:gridSpan w:val="7"/>
            <w:tcBorders>
              <w:top w:val="nil"/>
              <w:left w:val="nil"/>
              <w:bottom w:val="double" w:sz="6" w:space="0" w:color="auto"/>
              <w:right w:val="nil"/>
            </w:tcBorders>
            <w:shd w:val="clear" w:color="auto" w:fill="auto"/>
            <w:noWrap/>
            <w:vAlign w:val="bottom"/>
            <w:hideMark/>
          </w:tcPr>
          <w:p w14:paraId="3ECC26D3" w14:textId="42F28B69"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lastRenderedPageBreak/>
              <w:t>Table 3: Effects on the Earnings of STEM Tea</w:t>
            </w:r>
            <w:r>
              <w:rPr>
                <w:rFonts w:ascii="Times New Roman" w:eastAsia="Malgun Gothic" w:hAnsi="Times New Roman" w:cs="Times New Roman"/>
                <w:b/>
                <w:bCs/>
                <w:color w:val="000000"/>
                <w:sz w:val="24"/>
                <w:szCs w:val="24"/>
              </w:rPr>
              <w:t>ch</w:t>
            </w:r>
            <w:r w:rsidRPr="000E49B7">
              <w:rPr>
                <w:rFonts w:ascii="Times New Roman" w:eastAsia="Malgun Gothic" w:hAnsi="Times New Roman" w:cs="Times New Roman"/>
                <w:b/>
                <w:bCs/>
                <w:color w:val="000000"/>
                <w:sz w:val="24"/>
                <w:szCs w:val="24"/>
              </w:rPr>
              <w:t>ers</w:t>
            </w:r>
          </w:p>
        </w:tc>
      </w:tr>
      <w:tr w:rsidR="000E49B7" w:rsidRPr="000E49B7" w14:paraId="02317C77" w14:textId="77777777" w:rsidTr="000E49B7">
        <w:trPr>
          <w:trHeight w:val="345"/>
          <w:jc w:val="center"/>
        </w:trPr>
        <w:tc>
          <w:tcPr>
            <w:tcW w:w="2151" w:type="dxa"/>
            <w:tcBorders>
              <w:top w:val="nil"/>
              <w:left w:val="nil"/>
              <w:bottom w:val="nil"/>
              <w:right w:val="nil"/>
            </w:tcBorders>
            <w:shd w:val="clear" w:color="auto" w:fill="auto"/>
            <w:noWrap/>
            <w:vAlign w:val="bottom"/>
            <w:hideMark/>
          </w:tcPr>
          <w:p w14:paraId="766C018E"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p>
        </w:tc>
        <w:tc>
          <w:tcPr>
            <w:tcW w:w="9132" w:type="dxa"/>
            <w:gridSpan w:val="6"/>
            <w:tcBorders>
              <w:top w:val="double" w:sz="6" w:space="0" w:color="auto"/>
              <w:left w:val="nil"/>
              <w:bottom w:val="single" w:sz="4" w:space="0" w:color="auto"/>
              <w:right w:val="nil"/>
            </w:tcBorders>
            <w:shd w:val="clear" w:color="auto" w:fill="auto"/>
            <w:noWrap/>
            <w:vAlign w:val="bottom"/>
            <w:hideMark/>
          </w:tcPr>
          <w:p w14:paraId="28849AC0" w14:textId="143C0CBE"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Dep. Variable: ln</w:t>
            </w:r>
            <w:r>
              <w:rPr>
                <w:rFonts w:ascii="Times New Roman" w:eastAsia="Malgun Gothic" w:hAnsi="Times New Roman" w:cs="Times New Roman"/>
                <w:color w:val="000000"/>
                <w:sz w:val="24"/>
                <w:szCs w:val="24"/>
              </w:rPr>
              <w:t xml:space="preserve"> </w:t>
            </w:r>
            <w:r w:rsidRPr="000E49B7">
              <w:rPr>
                <w:rFonts w:ascii="Times New Roman" w:eastAsia="Malgun Gothic" w:hAnsi="Times New Roman" w:cs="Times New Roman"/>
                <w:color w:val="000000"/>
                <w:sz w:val="24"/>
                <w:szCs w:val="24"/>
              </w:rPr>
              <w:t>(Annual Earnings)</w:t>
            </w:r>
          </w:p>
        </w:tc>
      </w:tr>
      <w:tr w:rsidR="000E49B7" w:rsidRPr="000E49B7" w14:paraId="1597EA9E" w14:textId="77777777" w:rsidTr="000E49B7">
        <w:trPr>
          <w:trHeight w:val="330"/>
          <w:jc w:val="center"/>
        </w:trPr>
        <w:tc>
          <w:tcPr>
            <w:tcW w:w="2151" w:type="dxa"/>
            <w:tcBorders>
              <w:top w:val="nil"/>
              <w:left w:val="nil"/>
              <w:bottom w:val="nil"/>
              <w:right w:val="nil"/>
            </w:tcBorders>
            <w:shd w:val="clear" w:color="auto" w:fill="auto"/>
            <w:noWrap/>
            <w:vAlign w:val="bottom"/>
            <w:hideMark/>
          </w:tcPr>
          <w:p w14:paraId="3F8083F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928" w:type="dxa"/>
            <w:gridSpan w:val="2"/>
            <w:tcBorders>
              <w:top w:val="nil"/>
              <w:left w:val="nil"/>
              <w:bottom w:val="nil"/>
              <w:right w:val="nil"/>
            </w:tcBorders>
            <w:shd w:val="clear" w:color="auto" w:fill="auto"/>
            <w:noWrap/>
            <w:vAlign w:val="bottom"/>
            <w:hideMark/>
          </w:tcPr>
          <w:p w14:paraId="4054B245"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Full Sample</w:t>
            </w:r>
          </w:p>
        </w:tc>
        <w:tc>
          <w:tcPr>
            <w:tcW w:w="3276" w:type="dxa"/>
            <w:gridSpan w:val="2"/>
            <w:tcBorders>
              <w:top w:val="nil"/>
              <w:left w:val="nil"/>
              <w:bottom w:val="nil"/>
              <w:right w:val="nil"/>
            </w:tcBorders>
            <w:shd w:val="clear" w:color="auto" w:fill="auto"/>
            <w:noWrap/>
            <w:vAlign w:val="bottom"/>
            <w:hideMark/>
          </w:tcPr>
          <w:p w14:paraId="0C47C960"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Women</w:t>
            </w:r>
          </w:p>
        </w:tc>
        <w:tc>
          <w:tcPr>
            <w:tcW w:w="2928" w:type="dxa"/>
            <w:gridSpan w:val="2"/>
            <w:tcBorders>
              <w:top w:val="nil"/>
              <w:left w:val="nil"/>
              <w:bottom w:val="nil"/>
              <w:right w:val="nil"/>
            </w:tcBorders>
            <w:shd w:val="clear" w:color="auto" w:fill="auto"/>
            <w:noWrap/>
            <w:vAlign w:val="bottom"/>
            <w:hideMark/>
          </w:tcPr>
          <w:p w14:paraId="39052637"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Men</w:t>
            </w:r>
          </w:p>
        </w:tc>
      </w:tr>
      <w:tr w:rsidR="000E49B7" w:rsidRPr="000E49B7" w14:paraId="7426A914" w14:textId="77777777" w:rsidTr="000E49B7">
        <w:trPr>
          <w:trHeight w:val="330"/>
          <w:jc w:val="center"/>
        </w:trPr>
        <w:tc>
          <w:tcPr>
            <w:tcW w:w="2151" w:type="dxa"/>
            <w:tcBorders>
              <w:top w:val="nil"/>
              <w:left w:val="nil"/>
              <w:bottom w:val="single" w:sz="4" w:space="0" w:color="auto"/>
              <w:right w:val="nil"/>
            </w:tcBorders>
            <w:shd w:val="clear" w:color="auto" w:fill="auto"/>
            <w:noWrap/>
            <w:vAlign w:val="bottom"/>
            <w:hideMark/>
          </w:tcPr>
          <w:p w14:paraId="001072B0"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464" w:type="dxa"/>
            <w:tcBorders>
              <w:top w:val="nil"/>
              <w:left w:val="nil"/>
              <w:bottom w:val="single" w:sz="4" w:space="0" w:color="auto"/>
              <w:right w:val="nil"/>
            </w:tcBorders>
            <w:shd w:val="clear" w:color="auto" w:fill="auto"/>
            <w:noWrap/>
            <w:vAlign w:val="bottom"/>
            <w:hideMark/>
          </w:tcPr>
          <w:p w14:paraId="120C81C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w:t>
            </w:r>
          </w:p>
        </w:tc>
        <w:tc>
          <w:tcPr>
            <w:tcW w:w="1464" w:type="dxa"/>
            <w:tcBorders>
              <w:top w:val="nil"/>
              <w:left w:val="nil"/>
              <w:bottom w:val="single" w:sz="4" w:space="0" w:color="auto"/>
              <w:right w:val="nil"/>
            </w:tcBorders>
            <w:shd w:val="clear" w:color="auto" w:fill="auto"/>
            <w:noWrap/>
            <w:vAlign w:val="bottom"/>
            <w:hideMark/>
          </w:tcPr>
          <w:p w14:paraId="04DAD5A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w:t>
            </w:r>
          </w:p>
        </w:tc>
        <w:tc>
          <w:tcPr>
            <w:tcW w:w="1638" w:type="dxa"/>
            <w:tcBorders>
              <w:top w:val="nil"/>
              <w:left w:val="nil"/>
              <w:bottom w:val="single" w:sz="4" w:space="0" w:color="auto"/>
              <w:right w:val="nil"/>
            </w:tcBorders>
            <w:shd w:val="clear" w:color="auto" w:fill="auto"/>
            <w:noWrap/>
            <w:vAlign w:val="bottom"/>
            <w:hideMark/>
          </w:tcPr>
          <w:p w14:paraId="5A44526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w:t>
            </w:r>
          </w:p>
        </w:tc>
        <w:tc>
          <w:tcPr>
            <w:tcW w:w="1638" w:type="dxa"/>
            <w:tcBorders>
              <w:top w:val="nil"/>
              <w:left w:val="nil"/>
              <w:bottom w:val="single" w:sz="4" w:space="0" w:color="auto"/>
              <w:right w:val="nil"/>
            </w:tcBorders>
            <w:shd w:val="clear" w:color="auto" w:fill="auto"/>
            <w:noWrap/>
            <w:vAlign w:val="bottom"/>
            <w:hideMark/>
          </w:tcPr>
          <w:p w14:paraId="0A1A8AD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(4)</w:t>
            </w:r>
          </w:p>
        </w:tc>
        <w:tc>
          <w:tcPr>
            <w:tcW w:w="1464" w:type="dxa"/>
            <w:tcBorders>
              <w:top w:val="nil"/>
              <w:left w:val="nil"/>
              <w:bottom w:val="single" w:sz="4" w:space="0" w:color="auto"/>
              <w:right w:val="nil"/>
            </w:tcBorders>
            <w:shd w:val="clear" w:color="auto" w:fill="auto"/>
            <w:noWrap/>
            <w:vAlign w:val="bottom"/>
            <w:hideMark/>
          </w:tcPr>
          <w:p w14:paraId="374E063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(5)</w:t>
            </w:r>
          </w:p>
        </w:tc>
        <w:tc>
          <w:tcPr>
            <w:tcW w:w="1464" w:type="dxa"/>
            <w:tcBorders>
              <w:top w:val="nil"/>
              <w:left w:val="nil"/>
              <w:bottom w:val="single" w:sz="4" w:space="0" w:color="auto"/>
              <w:right w:val="nil"/>
            </w:tcBorders>
            <w:shd w:val="clear" w:color="auto" w:fill="auto"/>
            <w:noWrap/>
            <w:vAlign w:val="bottom"/>
            <w:hideMark/>
          </w:tcPr>
          <w:p w14:paraId="475071B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(6)</w:t>
            </w:r>
          </w:p>
        </w:tc>
      </w:tr>
      <w:tr w:rsidR="000E49B7" w:rsidRPr="000E49B7" w14:paraId="4C4766A3" w14:textId="77777777" w:rsidTr="000E49B7">
        <w:trPr>
          <w:trHeight w:val="330"/>
          <w:jc w:val="center"/>
        </w:trPr>
        <w:tc>
          <w:tcPr>
            <w:tcW w:w="2151" w:type="dxa"/>
            <w:tcBorders>
              <w:top w:val="nil"/>
              <w:left w:val="nil"/>
              <w:bottom w:val="nil"/>
              <w:right w:val="nil"/>
            </w:tcBorders>
            <w:shd w:val="clear" w:color="auto" w:fill="auto"/>
            <w:noWrap/>
            <w:vAlign w:val="bottom"/>
            <w:hideMark/>
          </w:tcPr>
          <w:p w14:paraId="0A31684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464" w:type="dxa"/>
            <w:tcBorders>
              <w:top w:val="nil"/>
              <w:left w:val="nil"/>
              <w:bottom w:val="nil"/>
              <w:right w:val="nil"/>
            </w:tcBorders>
            <w:shd w:val="clear" w:color="auto" w:fill="auto"/>
            <w:noWrap/>
            <w:vAlign w:val="bottom"/>
            <w:hideMark/>
          </w:tcPr>
          <w:p w14:paraId="247ABAD2"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14:paraId="135DDF43"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134AC012"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35B724E4"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14:paraId="4E0F1B10"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14:paraId="348E25A8"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017E2A60" w14:textId="77777777" w:rsidTr="000E49B7">
        <w:trPr>
          <w:trHeight w:val="330"/>
          <w:jc w:val="center"/>
        </w:trPr>
        <w:tc>
          <w:tcPr>
            <w:tcW w:w="2151" w:type="dxa"/>
            <w:tcBorders>
              <w:top w:val="nil"/>
              <w:left w:val="nil"/>
              <w:bottom w:val="nil"/>
              <w:right w:val="nil"/>
            </w:tcBorders>
            <w:shd w:val="clear" w:color="auto" w:fill="auto"/>
            <w:noWrap/>
            <w:vAlign w:val="bottom"/>
            <w:hideMark/>
          </w:tcPr>
          <w:p w14:paraId="6A39556D"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STEM*CB</w:t>
            </w:r>
          </w:p>
        </w:tc>
        <w:tc>
          <w:tcPr>
            <w:tcW w:w="1464" w:type="dxa"/>
            <w:tcBorders>
              <w:top w:val="nil"/>
              <w:left w:val="nil"/>
              <w:bottom w:val="nil"/>
              <w:right w:val="nil"/>
            </w:tcBorders>
            <w:shd w:val="clear" w:color="auto" w:fill="auto"/>
            <w:noWrap/>
            <w:vAlign w:val="bottom"/>
            <w:hideMark/>
          </w:tcPr>
          <w:p w14:paraId="348F2B1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0.049***</w:t>
            </w:r>
          </w:p>
        </w:tc>
        <w:tc>
          <w:tcPr>
            <w:tcW w:w="1464" w:type="dxa"/>
            <w:tcBorders>
              <w:top w:val="nil"/>
              <w:left w:val="nil"/>
              <w:bottom w:val="nil"/>
              <w:right w:val="nil"/>
            </w:tcBorders>
            <w:shd w:val="clear" w:color="auto" w:fill="auto"/>
            <w:noWrap/>
            <w:vAlign w:val="bottom"/>
            <w:hideMark/>
          </w:tcPr>
          <w:p w14:paraId="7375BC5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0.056***</w:t>
            </w:r>
          </w:p>
        </w:tc>
        <w:tc>
          <w:tcPr>
            <w:tcW w:w="1638" w:type="dxa"/>
            <w:tcBorders>
              <w:top w:val="nil"/>
              <w:left w:val="nil"/>
              <w:bottom w:val="nil"/>
              <w:right w:val="nil"/>
            </w:tcBorders>
            <w:shd w:val="clear" w:color="auto" w:fill="auto"/>
            <w:noWrap/>
            <w:vAlign w:val="bottom"/>
            <w:hideMark/>
          </w:tcPr>
          <w:p w14:paraId="06C665E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0.070***</w:t>
            </w:r>
          </w:p>
        </w:tc>
        <w:tc>
          <w:tcPr>
            <w:tcW w:w="1638" w:type="dxa"/>
            <w:tcBorders>
              <w:top w:val="nil"/>
              <w:left w:val="nil"/>
              <w:bottom w:val="nil"/>
              <w:right w:val="nil"/>
            </w:tcBorders>
            <w:shd w:val="clear" w:color="auto" w:fill="auto"/>
            <w:noWrap/>
            <w:vAlign w:val="bottom"/>
            <w:hideMark/>
          </w:tcPr>
          <w:p w14:paraId="043F960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0.072***</w:t>
            </w:r>
          </w:p>
        </w:tc>
        <w:tc>
          <w:tcPr>
            <w:tcW w:w="1464" w:type="dxa"/>
            <w:tcBorders>
              <w:top w:val="nil"/>
              <w:left w:val="nil"/>
              <w:bottom w:val="nil"/>
              <w:right w:val="nil"/>
            </w:tcBorders>
            <w:shd w:val="clear" w:color="auto" w:fill="auto"/>
            <w:noWrap/>
            <w:vAlign w:val="bottom"/>
            <w:hideMark/>
          </w:tcPr>
          <w:p w14:paraId="166C295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0.004</w:t>
            </w:r>
          </w:p>
        </w:tc>
        <w:tc>
          <w:tcPr>
            <w:tcW w:w="1464" w:type="dxa"/>
            <w:tcBorders>
              <w:top w:val="nil"/>
              <w:left w:val="nil"/>
              <w:bottom w:val="nil"/>
              <w:right w:val="nil"/>
            </w:tcBorders>
            <w:shd w:val="clear" w:color="auto" w:fill="auto"/>
            <w:noWrap/>
            <w:vAlign w:val="bottom"/>
            <w:hideMark/>
          </w:tcPr>
          <w:p w14:paraId="4E7BE14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0.024</w:t>
            </w:r>
          </w:p>
        </w:tc>
      </w:tr>
      <w:tr w:rsidR="000E49B7" w:rsidRPr="000E49B7" w14:paraId="7E9A66BB" w14:textId="77777777" w:rsidTr="000E49B7">
        <w:trPr>
          <w:trHeight w:val="330"/>
          <w:jc w:val="center"/>
        </w:trPr>
        <w:tc>
          <w:tcPr>
            <w:tcW w:w="2151" w:type="dxa"/>
            <w:tcBorders>
              <w:top w:val="nil"/>
              <w:left w:val="nil"/>
              <w:bottom w:val="nil"/>
              <w:right w:val="nil"/>
            </w:tcBorders>
            <w:shd w:val="clear" w:color="auto" w:fill="auto"/>
            <w:noWrap/>
            <w:vAlign w:val="bottom"/>
            <w:hideMark/>
          </w:tcPr>
          <w:p w14:paraId="602C669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464" w:type="dxa"/>
            <w:tcBorders>
              <w:top w:val="nil"/>
              <w:left w:val="nil"/>
              <w:bottom w:val="nil"/>
              <w:right w:val="nil"/>
            </w:tcBorders>
            <w:shd w:val="clear" w:color="auto" w:fill="auto"/>
            <w:noWrap/>
            <w:vAlign w:val="bottom"/>
            <w:hideMark/>
          </w:tcPr>
          <w:p w14:paraId="22686DC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[5.022%]</w:t>
            </w:r>
          </w:p>
        </w:tc>
        <w:tc>
          <w:tcPr>
            <w:tcW w:w="1464" w:type="dxa"/>
            <w:tcBorders>
              <w:top w:val="nil"/>
              <w:left w:val="nil"/>
              <w:bottom w:val="nil"/>
              <w:right w:val="nil"/>
            </w:tcBorders>
            <w:shd w:val="clear" w:color="auto" w:fill="auto"/>
            <w:noWrap/>
            <w:vAlign w:val="bottom"/>
            <w:hideMark/>
          </w:tcPr>
          <w:p w14:paraId="1B49003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[5.760%]</w:t>
            </w:r>
          </w:p>
        </w:tc>
        <w:tc>
          <w:tcPr>
            <w:tcW w:w="1638" w:type="dxa"/>
            <w:tcBorders>
              <w:top w:val="nil"/>
              <w:left w:val="nil"/>
              <w:bottom w:val="nil"/>
              <w:right w:val="nil"/>
            </w:tcBorders>
            <w:shd w:val="clear" w:color="auto" w:fill="auto"/>
            <w:noWrap/>
            <w:vAlign w:val="bottom"/>
            <w:hideMark/>
          </w:tcPr>
          <w:p w14:paraId="5A9A981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[7.251%]</w:t>
            </w:r>
          </w:p>
        </w:tc>
        <w:tc>
          <w:tcPr>
            <w:tcW w:w="1638" w:type="dxa"/>
            <w:tcBorders>
              <w:top w:val="nil"/>
              <w:left w:val="nil"/>
              <w:bottom w:val="nil"/>
              <w:right w:val="nil"/>
            </w:tcBorders>
            <w:shd w:val="clear" w:color="auto" w:fill="auto"/>
            <w:noWrap/>
            <w:vAlign w:val="bottom"/>
            <w:hideMark/>
          </w:tcPr>
          <w:p w14:paraId="77C9C78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[7.466%]</w:t>
            </w:r>
          </w:p>
        </w:tc>
        <w:tc>
          <w:tcPr>
            <w:tcW w:w="1464" w:type="dxa"/>
            <w:tcBorders>
              <w:top w:val="nil"/>
              <w:left w:val="nil"/>
              <w:bottom w:val="nil"/>
              <w:right w:val="nil"/>
            </w:tcBorders>
            <w:shd w:val="clear" w:color="auto" w:fill="auto"/>
            <w:noWrap/>
            <w:vAlign w:val="bottom"/>
            <w:hideMark/>
          </w:tcPr>
          <w:p w14:paraId="12F96F9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[0.401%]</w:t>
            </w:r>
          </w:p>
        </w:tc>
        <w:tc>
          <w:tcPr>
            <w:tcW w:w="1464" w:type="dxa"/>
            <w:tcBorders>
              <w:top w:val="nil"/>
              <w:left w:val="nil"/>
              <w:bottom w:val="nil"/>
              <w:right w:val="nil"/>
            </w:tcBorders>
            <w:shd w:val="clear" w:color="auto" w:fill="auto"/>
            <w:noWrap/>
            <w:vAlign w:val="bottom"/>
            <w:hideMark/>
          </w:tcPr>
          <w:p w14:paraId="063A1DE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[2.429%]</w:t>
            </w:r>
          </w:p>
        </w:tc>
      </w:tr>
      <w:tr w:rsidR="000E49B7" w:rsidRPr="000E49B7" w14:paraId="3FF1616F" w14:textId="77777777" w:rsidTr="000E49B7">
        <w:trPr>
          <w:trHeight w:val="330"/>
          <w:jc w:val="center"/>
        </w:trPr>
        <w:tc>
          <w:tcPr>
            <w:tcW w:w="2151" w:type="dxa"/>
            <w:tcBorders>
              <w:top w:val="nil"/>
              <w:left w:val="nil"/>
              <w:bottom w:val="nil"/>
              <w:right w:val="nil"/>
            </w:tcBorders>
            <w:shd w:val="clear" w:color="auto" w:fill="auto"/>
            <w:noWrap/>
            <w:vAlign w:val="bottom"/>
            <w:hideMark/>
          </w:tcPr>
          <w:p w14:paraId="0464142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464" w:type="dxa"/>
            <w:tcBorders>
              <w:top w:val="nil"/>
              <w:left w:val="nil"/>
              <w:bottom w:val="nil"/>
              <w:right w:val="nil"/>
            </w:tcBorders>
            <w:shd w:val="clear" w:color="auto" w:fill="auto"/>
            <w:noWrap/>
            <w:vAlign w:val="bottom"/>
            <w:hideMark/>
          </w:tcPr>
          <w:p w14:paraId="0E65547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(0.016)</w:t>
            </w:r>
          </w:p>
        </w:tc>
        <w:tc>
          <w:tcPr>
            <w:tcW w:w="1464" w:type="dxa"/>
            <w:tcBorders>
              <w:top w:val="nil"/>
              <w:left w:val="nil"/>
              <w:bottom w:val="nil"/>
              <w:right w:val="nil"/>
            </w:tcBorders>
            <w:shd w:val="clear" w:color="auto" w:fill="auto"/>
            <w:noWrap/>
            <w:vAlign w:val="bottom"/>
            <w:hideMark/>
          </w:tcPr>
          <w:p w14:paraId="6066133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(0.017)</w:t>
            </w:r>
          </w:p>
        </w:tc>
        <w:tc>
          <w:tcPr>
            <w:tcW w:w="1638" w:type="dxa"/>
            <w:tcBorders>
              <w:top w:val="nil"/>
              <w:left w:val="nil"/>
              <w:bottom w:val="nil"/>
              <w:right w:val="nil"/>
            </w:tcBorders>
            <w:shd w:val="clear" w:color="auto" w:fill="auto"/>
            <w:noWrap/>
            <w:vAlign w:val="bottom"/>
            <w:hideMark/>
          </w:tcPr>
          <w:p w14:paraId="46FC622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(0.022)</w:t>
            </w:r>
          </w:p>
        </w:tc>
        <w:tc>
          <w:tcPr>
            <w:tcW w:w="1638" w:type="dxa"/>
            <w:tcBorders>
              <w:top w:val="nil"/>
              <w:left w:val="nil"/>
              <w:bottom w:val="nil"/>
              <w:right w:val="nil"/>
            </w:tcBorders>
            <w:shd w:val="clear" w:color="auto" w:fill="auto"/>
            <w:noWrap/>
            <w:vAlign w:val="bottom"/>
            <w:hideMark/>
          </w:tcPr>
          <w:p w14:paraId="5B4F247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(0.023)</w:t>
            </w:r>
          </w:p>
        </w:tc>
        <w:tc>
          <w:tcPr>
            <w:tcW w:w="1464" w:type="dxa"/>
            <w:tcBorders>
              <w:top w:val="nil"/>
              <w:left w:val="nil"/>
              <w:bottom w:val="nil"/>
              <w:right w:val="nil"/>
            </w:tcBorders>
            <w:shd w:val="clear" w:color="auto" w:fill="auto"/>
            <w:noWrap/>
            <w:vAlign w:val="bottom"/>
            <w:hideMark/>
          </w:tcPr>
          <w:p w14:paraId="063724C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(0.017)</w:t>
            </w:r>
          </w:p>
        </w:tc>
        <w:tc>
          <w:tcPr>
            <w:tcW w:w="1464" w:type="dxa"/>
            <w:tcBorders>
              <w:top w:val="nil"/>
              <w:left w:val="nil"/>
              <w:bottom w:val="nil"/>
              <w:right w:val="nil"/>
            </w:tcBorders>
            <w:shd w:val="clear" w:color="auto" w:fill="auto"/>
            <w:noWrap/>
            <w:vAlign w:val="bottom"/>
            <w:hideMark/>
          </w:tcPr>
          <w:p w14:paraId="0C8AB29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(0.016)</w:t>
            </w:r>
          </w:p>
        </w:tc>
      </w:tr>
      <w:tr w:rsidR="000E49B7" w:rsidRPr="000E49B7" w14:paraId="4280C33A" w14:textId="77777777" w:rsidTr="000E49B7">
        <w:trPr>
          <w:trHeight w:val="330"/>
          <w:jc w:val="center"/>
        </w:trPr>
        <w:tc>
          <w:tcPr>
            <w:tcW w:w="2151" w:type="dxa"/>
            <w:tcBorders>
              <w:top w:val="nil"/>
              <w:left w:val="nil"/>
              <w:bottom w:val="nil"/>
              <w:right w:val="nil"/>
            </w:tcBorders>
            <w:shd w:val="clear" w:color="auto" w:fill="auto"/>
            <w:noWrap/>
            <w:vAlign w:val="bottom"/>
            <w:hideMark/>
          </w:tcPr>
          <w:p w14:paraId="2A33A35C"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
        </w:tc>
        <w:tc>
          <w:tcPr>
            <w:tcW w:w="1464" w:type="dxa"/>
            <w:tcBorders>
              <w:top w:val="nil"/>
              <w:left w:val="nil"/>
              <w:bottom w:val="nil"/>
              <w:right w:val="nil"/>
            </w:tcBorders>
            <w:shd w:val="clear" w:color="auto" w:fill="auto"/>
            <w:noWrap/>
            <w:vAlign w:val="bottom"/>
            <w:hideMark/>
          </w:tcPr>
          <w:p w14:paraId="1A0ED79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-0.071***</w:t>
            </w:r>
          </w:p>
        </w:tc>
        <w:tc>
          <w:tcPr>
            <w:tcW w:w="1464" w:type="dxa"/>
            <w:tcBorders>
              <w:top w:val="nil"/>
              <w:left w:val="nil"/>
              <w:bottom w:val="nil"/>
              <w:right w:val="nil"/>
            </w:tcBorders>
            <w:shd w:val="clear" w:color="auto" w:fill="auto"/>
            <w:noWrap/>
            <w:vAlign w:val="bottom"/>
            <w:hideMark/>
          </w:tcPr>
          <w:p w14:paraId="467092A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-0.089***</w:t>
            </w:r>
          </w:p>
        </w:tc>
        <w:tc>
          <w:tcPr>
            <w:tcW w:w="1638" w:type="dxa"/>
            <w:tcBorders>
              <w:top w:val="nil"/>
              <w:left w:val="nil"/>
              <w:bottom w:val="nil"/>
              <w:right w:val="nil"/>
            </w:tcBorders>
            <w:shd w:val="clear" w:color="auto" w:fill="auto"/>
            <w:noWrap/>
            <w:vAlign w:val="bottom"/>
            <w:hideMark/>
          </w:tcPr>
          <w:p w14:paraId="67B77E6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-0.106***</w:t>
            </w:r>
          </w:p>
        </w:tc>
        <w:tc>
          <w:tcPr>
            <w:tcW w:w="1638" w:type="dxa"/>
            <w:tcBorders>
              <w:top w:val="nil"/>
              <w:left w:val="nil"/>
              <w:bottom w:val="nil"/>
              <w:right w:val="nil"/>
            </w:tcBorders>
            <w:shd w:val="clear" w:color="auto" w:fill="auto"/>
            <w:noWrap/>
            <w:vAlign w:val="bottom"/>
            <w:hideMark/>
          </w:tcPr>
          <w:p w14:paraId="05798F9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-0.118***</w:t>
            </w:r>
          </w:p>
        </w:tc>
        <w:tc>
          <w:tcPr>
            <w:tcW w:w="1464" w:type="dxa"/>
            <w:tcBorders>
              <w:top w:val="nil"/>
              <w:left w:val="nil"/>
              <w:bottom w:val="nil"/>
              <w:right w:val="nil"/>
            </w:tcBorders>
            <w:shd w:val="clear" w:color="auto" w:fill="auto"/>
            <w:noWrap/>
            <w:vAlign w:val="bottom"/>
            <w:hideMark/>
          </w:tcPr>
          <w:p w14:paraId="23872B1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-0.006</w:t>
            </w:r>
          </w:p>
        </w:tc>
        <w:tc>
          <w:tcPr>
            <w:tcW w:w="1464" w:type="dxa"/>
            <w:tcBorders>
              <w:top w:val="nil"/>
              <w:left w:val="nil"/>
              <w:bottom w:val="nil"/>
              <w:right w:val="nil"/>
            </w:tcBorders>
            <w:shd w:val="clear" w:color="auto" w:fill="auto"/>
            <w:noWrap/>
            <w:vAlign w:val="bottom"/>
            <w:hideMark/>
          </w:tcPr>
          <w:p w14:paraId="138DD06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-0.036***</w:t>
            </w:r>
          </w:p>
        </w:tc>
      </w:tr>
      <w:tr w:rsidR="000E49B7" w:rsidRPr="000E49B7" w14:paraId="10E6DD1D" w14:textId="77777777" w:rsidTr="000E49B7">
        <w:trPr>
          <w:trHeight w:val="330"/>
          <w:jc w:val="center"/>
        </w:trPr>
        <w:tc>
          <w:tcPr>
            <w:tcW w:w="2151" w:type="dxa"/>
            <w:tcBorders>
              <w:top w:val="nil"/>
              <w:left w:val="nil"/>
              <w:bottom w:val="nil"/>
              <w:right w:val="nil"/>
            </w:tcBorders>
            <w:shd w:val="clear" w:color="auto" w:fill="auto"/>
            <w:noWrap/>
            <w:vAlign w:val="bottom"/>
            <w:hideMark/>
          </w:tcPr>
          <w:p w14:paraId="60CE70A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464" w:type="dxa"/>
            <w:tcBorders>
              <w:top w:val="nil"/>
              <w:left w:val="nil"/>
              <w:bottom w:val="nil"/>
              <w:right w:val="nil"/>
            </w:tcBorders>
            <w:shd w:val="clear" w:color="auto" w:fill="auto"/>
            <w:noWrap/>
            <w:vAlign w:val="bottom"/>
            <w:hideMark/>
          </w:tcPr>
          <w:p w14:paraId="6AC53FD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[-6.854%]</w:t>
            </w:r>
          </w:p>
        </w:tc>
        <w:tc>
          <w:tcPr>
            <w:tcW w:w="1464" w:type="dxa"/>
            <w:tcBorders>
              <w:top w:val="nil"/>
              <w:left w:val="nil"/>
              <w:bottom w:val="nil"/>
              <w:right w:val="nil"/>
            </w:tcBorders>
            <w:shd w:val="clear" w:color="auto" w:fill="auto"/>
            <w:noWrap/>
            <w:vAlign w:val="bottom"/>
            <w:hideMark/>
          </w:tcPr>
          <w:p w14:paraId="2C2EEE4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[-8.515%]</w:t>
            </w:r>
          </w:p>
        </w:tc>
        <w:tc>
          <w:tcPr>
            <w:tcW w:w="1638" w:type="dxa"/>
            <w:tcBorders>
              <w:top w:val="nil"/>
              <w:left w:val="nil"/>
              <w:bottom w:val="nil"/>
              <w:right w:val="nil"/>
            </w:tcBorders>
            <w:shd w:val="clear" w:color="auto" w:fill="auto"/>
            <w:noWrap/>
            <w:vAlign w:val="bottom"/>
            <w:hideMark/>
          </w:tcPr>
          <w:p w14:paraId="1F77E54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[-10.058%]</w:t>
            </w:r>
          </w:p>
        </w:tc>
        <w:tc>
          <w:tcPr>
            <w:tcW w:w="1638" w:type="dxa"/>
            <w:tcBorders>
              <w:top w:val="nil"/>
              <w:left w:val="nil"/>
              <w:bottom w:val="nil"/>
              <w:right w:val="nil"/>
            </w:tcBorders>
            <w:shd w:val="clear" w:color="auto" w:fill="auto"/>
            <w:noWrap/>
            <w:vAlign w:val="bottom"/>
            <w:hideMark/>
          </w:tcPr>
          <w:p w14:paraId="55A2785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[-11.130%]</w:t>
            </w:r>
          </w:p>
        </w:tc>
        <w:tc>
          <w:tcPr>
            <w:tcW w:w="1464" w:type="dxa"/>
            <w:tcBorders>
              <w:top w:val="nil"/>
              <w:left w:val="nil"/>
              <w:bottom w:val="nil"/>
              <w:right w:val="nil"/>
            </w:tcBorders>
            <w:shd w:val="clear" w:color="auto" w:fill="auto"/>
            <w:noWrap/>
            <w:vAlign w:val="bottom"/>
            <w:hideMark/>
          </w:tcPr>
          <w:p w14:paraId="54F0061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[-0.598%]</w:t>
            </w:r>
          </w:p>
        </w:tc>
        <w:tc>
          <w:tcPr>
            <w:tcW w:w="1464" w:type="dxa"/>
            <w:tcBorders>
              <w:top w:val="nil"/>
              <w:left w:val="nil"/>
              <w:bottom w:val="nil"/>
              <w:right w:val="nil"/>
            </w:tcBorders>
            <w:shd w:val="clear" w:color="auto" w:fill="auto"/>
            <w:noWrap/>
            <w:vAlign w:val="bottom"/>
            <w:hideMark/>
          </w:tcPr>
          <w:p w14:paraId="172566D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[-3.536%]</w:t>
            </w:r>
          </w:p>
        </w:tc>
      </w:tr>
      <w:tr w:rsidR="000E49B7" w:rsidRPr="000E49B7" w14:paraId="74582BBC" w14:textId="77777777" w:rsidTr="000E49B7">
        <w:trPr>
          <w:trHeight w:val="330"/>
          <w:jc w:val="center"/>
        </w:trPr>
        <w:tc>
          <w:tcPr>
            <w:tcW w:w="2151" w:type="dxa"/>
            <w:tcBorders>
              <w:top w:val="nil"/>
              <w:left w:val="nil"/>
              <w:bottom w:val="nil"/>
              <w:right w:val="nil"/>
            </w:tcBorders>
            <w:shd w:val="clear" w:color="auto" w:fill="auto"/>
            <w:noWrap/>
            <w:vAlign w:val="bottom"/>
            <w:hideMark/>
          </w:tcPr>
          <w:p w14:paraId="03BD4BF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464" w:type="dxa"/>
            <w:tcBorders>
              <w:top w:val="nil"/>
              <w:left w:val="nil"/>
              <w:bottom w:val="nil"/>
              <w:right w:val="nil"/>
            </w:tcBorders>
            <w:shd w:val="clear" w:color="auto" w:fill="auto"/>
            <w:noWrap/>
            <w:vAlign w:val="bottom"/>
            <w:hideMark/>
          </w:tcPr>
          <w:p w14:paraId="1017556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(0.012)</w:t>
            </w:r>
          </w:p>
        </w:tc>
        <w:tc>
          <w:tcPr>
            <w:tcW w:w="1464" w:type="dxa"/>
            <w:tcBorders>
              <w:top w:val="nil"/>
              <w:left w:val="nil"/>
              <w:bottom w:val="nil"/>
              <w:right w:val="nil"/>
            </w:tcBorders>
            <w:shd w:val="clear" w:color="auto" w:fill="auto"/>
            <w:noWrap/>
            <w:vAlign w:val="bottom"/>
            <w:hideMark/>
          </w:tcPr>
          <w:p w14:paraId="6A34767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(0.009)</w:t>
            </w:r>
          </w:p>
        </w:tc>
        <w:tc>
          <w:tcPr>
            <w:tcW w:w="1638" w:type="dxa"/>
            <w:tcBorders>
              <w:top w:val="nil"/>
              <w:left w:val="nil"/>
              <w:bottom w:val="nil"/>
              <w:right w:val="nil"/>
            </w:tcBorders>
            <w:shd w:val="clear" w:color="auto" w:fill="auto"/>
            <w:noWrap/>
            <w:vAlign w:val="bottom"/>
            <w:hideMark/>
          </w:tcPr>
          <w:p w14:paraId="79B1541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(0.015)</w:t>
            </w:r>
          </w:p>
        </w:tc>
        <w:tc>
          <w:tcPr>
            <w:tcW w:w="1638" w:type="dxa"/>
            <w:tcBorders>
              <w:top w:val="nil"/>
              <w:left w:val="nil"/>
              <w:bottom w:val="nil"/>
              <w:right w:val="nil"/>
            </w:tcBorders>
            <w:shd w:val="clear" w:color="auto" w:fill="auto"/>
            <w:noWrap/>
            <w:vAlign w:val="bottom"/>
            <w:hideMark/>
          </w:tcPr>
          <w:p w14:paraId="22F51F8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(0.014)</w:t>
            </w:r>
          </w:p>
        </w:tc>
        <w:tc>
          <w:tcPr>
            <w:tcW w:w="1464" w:type="dxa"/>
            <w:tcBorders>
              <w:top w:val="nil"/>
              <w:left w:val="nil"/>
              <w:bottom w:val="nil"/>
              <w:right w:val="nil"/>
            </w:tcBorders>
            <w:shd w:val="clear" w:color="auto" w:fill="auto"/>
            <w:noWrap/>
            <w:vAlign w:val="bottom"/>
            <w:hideMark/>
          </w:tcPr>
          <w:p w14:paraId="30C63D4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(0.016)</w:t>
            </w:r>
          </w:p>
        </w:tc>
        <w:tc>
          <w:tcPr>
            <w:tcW w:w="1464" w:type="dxa"/>
            <w:tcBorders>
              <w:top w:val="nil"/>
              <w:left w:val="nil"/>
              <w:bottom w:val="nil"/>
              <w:right w:val="nil"/>
            </w:tcBorders>
            <w:shd w:val="clear" w:color="auto" w:fill="auto"/>
            <w:noWrap/>
            <w:vAlign w:val="bottom"/>
            <w:hideMark/>
          </w:tcPr>
          <w:p w14:paraId="4028B29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(0.011)</w:t>
            </w:r>
          </w:p>
        </w:tc>
      </w:tr>
      <w:tr w:rsidR="000E49B7" w:rsidRPr="000E49B7" w14:paraId="02D4AC47" w14:textId="77777777" w:rsidTr="000E49B7">
        <w:trPr>
          <w:trHeight w:val="330"/>
          <w:jc w:val="center"/>
        </w:trPr>
        <w:tc>
          <w:tcPr>
            <w:tcW w:w="2151" w:type="dxa"/>
            <w:tcBorders>
              <w:top w:val="nil"/>
              <w:left w:val="nil"/>
              <w:bottom w:val="nil"/>
              <w:right w:val="nil"/>
            </w:tcBorders>
            <w:shd w:val="clear" w:color="auto" w:fill="auto"/>
            <w:noWrap/>
            <w:vAlign w:val="bottom"/>
            <w:hideMark/>
          </w:tcPr>
          <w:p w14:paraId="7592C62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464" w:type="dxa"/>
            <w:tcBorders>
              <w:top w:val="nil"/>
              <w:left w:val="nil"/>
              <w:bottom w:val="nil"/>
              <w:right w:val="nil"/>
            </w:tcBorders>
            <w:shd w:val="clear" w:color="auto" w:fill="auto"/>
            <w:noWrap/>
            <w:vAlign w:val="bottom"/>
            <w:hideMark/>
          </w:tcPr>
          <w:p w14:paraId="1AC9A85B"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14:paraId="454C7636"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215FD694"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74B7A0E3"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14:paraId="43A41C5A"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14:paraId="09E07427"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r>
      <w:tr w:rsidR="000E49B7" w:rsidRPr="000E49B7" w14:paraId="78E2B637" w14:textId="77777777" w:rsidTr="000E49B7">
        <w:trPr>
          <w:trHeight w:val="345"/>
          <w:jc w:val="center"/>
        </w:trPr>
        <w:tc>
          <w:tcPr>
            <w:tcW w:w="2151" w:type="dxa"/>
            <w:tcBorders>
              <w:top w:val="nil"/>
              <w:left w:val="nil"/>
              <w:bottom w:val="double" w:sz="6" w:space="0" w:color="auto"/>
              <w:right w:val="nil"/>
            </w:tcBorders>
            <w:shd w:val="clear" w:color="auto" w:fill="auto"/>
            <w:noWrap/>
            <w:vAlign w:val="bottom"/>
            <w:hideMark/>
          </w:tcPr>
          <w:p w14:paraId="33E1C46F"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2928" w:type="dxa"/>
            <w:gridSpan w:val="2"/>
            <w:tcBorders>
              <w:top w:val="nil"/>
              <w:left w:val="nil"/>
              <w:bottom w:val="double" w:sz="6" w:space="0" w:color="auto"/>
              <w:right w:val="nil"/>
            </w:tcBorders>
            <w:shd w:val="clear" w:color="auto" w:fill="auto"/>
            <w:noWrap/>
            <w:vAlign w:val="bottom"/>
            <w:hideMark/>
          </w:tcPr>
          <w:p w14:paraId="7739A95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411,906</w:t>
            </w:r>
          </w:p>
        </w:tc>
        <w:tc>
          <w:tcPr>
            <w:tcW w:w="3276" w:type="dxa"/>
            <w:gridSpan w:val="2"/>
            <w:tcBorders>
              <w:top w:val="nil"/>
              <w:left w:val="nil"/>
              <w:bottom w:val="double" w:sz="6" w:space="0" w:color="auto"/>
              <w:right w:val="nil"/>
            </w:tcBorders>
            <w:shd w:val="clear" w:color="auto" w:fill="auto"/>
            <w:noWrap/>
            <w:vAlign w:val="bottom"/>
            <w:hideMark/>
          </w:tcPr>
          <w:p w14:paraId="7A228FB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313,545</w:t>
            </w:r>
          </w:p>
        </w:tc>
        <w:tc>
          <w:tcPr>
            <w:tcW w:w="2928" w:type="dxa"/>
            <w:gridSpan w:val="2"/>
            <w:tcBorders>
              <w:top w:val="nil"/>
              <w:left w:val="nil"/>
              <w:bottom w:val="double" w:sz="6" w:space="0" w:color="auto"/>
              <w:right w:val="nil"/>
            </w:tcBorders>
            <w:shd w:val="clear" w:color="auto" w:fill="auto"/>
            <w:noWrap/>
            <w:vAlign w:val="bottom"/>
            <w:hideMark/>
          </w:tcPr>
          <w:p w14:paraId="1AEFB44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98,167</w:t>
            </w:r>
          </w:p>
        </w:tc>
      </w:tr>
      <w:tr w:rsidR="000E49B7" w:rsidRPr="000E49B7" w14:paraId="7724DB7D" w14:textId="77777777" w:rsidTr="000E49B7">
        <w:trPr>
          <w:trHeight w:val="345"/>
          <w:jc w:val="center"/>
        </w:trPr>
        <w:tc>
          <w:tcPr>
            <w:tcW w:w="2151" w:type="dxa"/>
            <w:tcBorders>
              <w:top w:val="nil"/>
              <w:left w:val="nil"/>
              <w:bottom w:val="nil"/>
              <w:right w:val="nil"/>
            </w:tcBorders>
            <w:shd w:val="clear" w:color="auto" w:fill="auto"/>
            <w:noWrap/>
            <w:vAlign w:val="bottom"/>
            <w:hideMark/>
          </w:tcPr>
          <w:p w14:paraId="2C755A50"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Indiv</w:t>
            </w:r>
            <w:proofErr w:type="spellEnd"/>
            <w:r w:rsidRPr="000E49B7">
              <w:rPr>
                <w:rFonts w:ascii="Times New Roman" w:eastAsia="Malgun Gothic" w:hAnsi="Times New Roman" w:cs="Times New Roman"/>
                <w:color w:val="000000"/>
                <w:sz w:val="24"/>
                <w:szCs w:val="24"/>
              </w:rPr>
              <w:t>. Controls</w:t>
            </w:r>
          </w:p>
        </w:tc>
        <w:tc>
          <w:tcPr>
            <w:tcW w:w="1464" w:type="dxa"/>
            <w:tcBorders>
              <w:top w:val="nil"/>
              <w:left w:val="nil"/>
              <w:bottom w:val="nil"/>
              <w:right w:val="nil"/>
            </w:tcBorders>
            <w:shd w:val="clear" w:color="auto" w:fill="auto"/>
            <w:noWrap/>
            <w:vAlign w:val="bottom"/>
            <w:hideMark/>
          </w:tcPr>
          <w:p w14:paraId="2D166C2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N</w:t>
            </w:r>
          </w:p>
        </w:tc>
        <w:tc>
          <w:tcPr>
            <w:tcW w:w="1464" w:type="dxa"/>
            <w:tcBorders>
              <w:top w:val="nil"/>
              <w:left w:val="nil"/>
              <w:bottom w:val="nil"/>
              <w:right w:val="nil"/>
            </w:tcBorders>
            <w:shd w:val="clear" w:color="auto" w:fill="auto"/>
            <w:noWrap/>
            <w:vAlign w:val="bottom"/>
            <w:hideMark/>
          </w:tcPr>
          <w:p w14:paraId="503F094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638" w:type="dxa"/>
            <w:tcBorders>
              <w:top w:val="nil"/>
              <w:left w:val="nil"/>
              <w:bottom w:val="nil"/>
              <w:right w:val="nil"/>
            </w:tcBorders>
            <w:shd w:val="clear" w:color="auto" w:fill="auto"/>
            <w:noWrap/>
            <w:vAlign w:val="bottom"/>
            <w:hideMark/>
          </w:tcPr>
          <w:p w14:paraId="1D52BF3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N</w:t>
            </w:r>
          </w:p>
        </w:tc>
        <w:tc>
          <w:tcPr>
            <w:tcW w:w="1638" w:type="dxa"/>
            <w:tcBorders>
              <w:top w:val="nil"/>
              <w:left w:val="nil"/>
              <w:bottom w:val="nil"/>
              <w:right w:val="nil"/>
            </w:tcBorders>
            <w:shd w:val="clear" w:color="auto" w:fill="auto"/>
            <w:noWrap/>
            <w:vAlign w:val="bottom"/>
            <w:hideMark/>
          </w:tcPr>
          <w:p w14:paraId="0A7F124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464" w:type="dxa"/>
            <w:tcBorders>
              <w:top w:val="nil"/>
              <w:left w:val="nil"/>
              <w:bottom w:val="nil"/>
              <w:right w:val="nil"/>
            </w:tcBorders>
            <w:shd w:val="clear" w:color="auto" w:fill="auto"/>
            <w:noWrap/>
            <w:vAlign w:val="bottom"/>
            <w:hideMark/>
          </w:tcPr>
          <w:p w14:paraId="47EBF69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N</w:t>
            </w:r>
          </w:p>
        </w:tc>
        <w:tc>
          <w:tcPr>
            <w:tcW w:w="1464" w:type="dxa"/>
            <w:tcBorders>
              <w:top w:val="nil"/>
              <w:left w:val="nil"/>
              <w:bottom w:val="nil"/>
              <w:right w:val="nil"/>
            </w:tcBorders>
            <w:shd w:val="clear" w:color="auto" w:fill="auto"/>
            <w:noWrap/>
            <w:vAlign w:val="bottom"/>
            <w:hideMark/>
          </w:tcPr>
          <w:p w14:paraId="425FFAC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32633FE7" w14:textId="77777777" w:rsidTr="000E49B7">
        <w:trPr>
          <w:trHeight w:val="330"/>
          <w:jc w:val="center"/>
        </w:trPr>
        <w:tc>
          <w:tcPr>
            <w:tcW w:w="2151" w:type="dxa"/>
            <w:tcBorders>
              <w:top w:val="nil"/>
              <w:left w:val="nil"/>
              <w:bottom w:val="nil"/>
              <w:right w:val="nil"/>
            </w:tcBorders>
            <w:shd w:val="clear" w:color="auto" w:fill="auto"/>
            <w:noWrap/>
            <w:vAlign w:val="bottom"/>
            <w:hideMark/>
          </w:tcPr>
          <w:p w14:paraId="5C054EE2"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CZ×Year</w:t>
            </w:r>
            <w:proofErr w:type="spellEnd"/>
            <w:r w:rsidRPr="000E49B7">
              <w:rPr>
                <w:rFonts w:ascii="Times New Roman" w:eastAsia="Malgun Gothic" w:hAnsi="Times New Roman" w:cs="Times New Roman"/>
                <w:color w:val="000000"/>
                <w:sz w:val="24"/>
                <w:szCs w:val="24"/>
              </w:rPr>
              <w:t xml:space="preserve"> FE</w:t>
            </w:r>
          </w:p>
        </w:tc>
        <w:tc>
          <w:tcPr>
            <w:tcW w:w="1464" w:type="dxa"/>
            <w:tcBorders>
              <w:top w:val="nil"/>
              <w:left w:val="nil"/>
              <w:bottom w:val="nil"/>
              <w:right w:val="nil"/>
            </w:tcBorders>
            <w:shd w:val="clear" w:color="auto" w:fill="auto"/>
            <w:noWrap/>
            <w:vAlign w:val="bottom"/>
            <w:hideMark/>
          </w:tcPr>
          <w:p w14:paraId="52B0135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464" w:type="dxa"/>
            <w:tcBorders>
              <w:top w:val="nil"/>
              <w:left w:val="nil"/>
              <w:bottom w:val="nil"/>
              <w:right w:val="nil"/>
            </w:tcBorders>
            <w:shd w:val="clear" w:color="auto" w:fill="auto"/>
            <w:noWrap/>
            <w:vAlign w:val="bottom"/>
            <w:hideMark/>
          </w:tcPr>
          <w:p w14:paraId="47E29EE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638" w:type="dxa"/>
            <w:tcBorders>
              <w:top w:val="nil"/>
              <w:left w:val="nil"/>
              <w:bottom w:val="nil"/>
              <w:right w:val="nil"/>
            </w:tcBorders>
            <w:shd w:val="clear" w:color="auto" w:fill="auto"/>
            <w:noWrap/>
            <w:vAlign w:val="bottom"/>
            <w:hideMark/>
          </w:tcPr>
          <w:p w14:paraId="5BF7343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638" w:type="dxa"/>
            <w:tcBorders>
              <w:top w:val="nil"/>
              <w:left w:val="nil"/>
              <w:bottom w:val="nil"/>
              <w:right w:val="nil"/>
            </w:tcBorders>
            <w:shd w:val="clear" w:color="auto" w:fill="auto"/>
            <w:noWrap/>
            <w:vAlign w:val="bottom"/>
            <w:hideMark/>
          </w:tcPr>
          <w:p w14:paraId="359B57E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464" w:type="dxa"/>
            <w:tcBorders>
              <w:top w:val="nil"/>
              <w:left w:val="nil"/>
              <w:bottom w:val="nil"/>
              <w:right w:val="nil"/>
            </w:tcBorders>
            <w:shd w:val="clear" w:color="auto" w:fill="auto"/>
            <w:noWrap/>
            <w:vAlign w:val="bottom"/>
            <w:hideMark/>
          </w:tcPr>
          <w:p w14:paraId="23883A0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464" w:type="dxa"/>
            <w:tcBorders>
              <w:top w:val="nil"/>
              <w:left w:val="nil"/>
              <w:bottom w:val="nil"/>
              <w:right w:val="nil"/>
            </w:tcBorders>
            <w:shd w:val="clear" w:color="auto" w:fill="auto"/>
            <w:noWrap/>
            <w:vAlign w:val="bottom"/>
            <w:hideMark/>
          </w:tcPr>
          <w:p w14:paraId="3C26AA6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278B51C7" w14:textId="77777777" w:rsidTr="000E49B7">
        <w:trPr>
          <w:trHeight w:val="345"/>
          <w:jc w:val="center"/>
        </w:trPr>
        <w:tc>
          <w:tcPr>
            <w:tcW w:w="2151" w:type="dxa"/>
            <w:tcBorders>
              <w:top w:val="nil"/>
              <w:left w:val="nil"/>
              <w:bottom w:val="double" w:sz="6" w:space="0" w:color="auto"/>
              <w:right w:val="nil"/>
            </w:tcBorders>
            <w:shd w:val="clear" w:color="auto" w:fill="auto"/>
            <w:noWrap/>
            <w:vAlign w:val="bottom"/>
            <w:hideMark/>
          </w:tcPr>
          <w:p w14:paraId="249753A4"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State FE</w:t>
            </w:r>
          </w:p>
        </w:tc>
        <w:tc>
          <w:tcPr>
            <w:tcW w:w="1464" w:type="dxa"/>
            <w:tcBorders>
              <w:top w:val="nil"/>
              <w:left w:val="nil"/>
              <w:bottom w:val="double" w:sz="6" w:space="0" w:color="auto"/>
              <w:right w:val="nil"/>
            </w:tcBorders>
            <w:shd w:val="clear" w:color="auto" w:fill="auto"/>
            <w:noWrap/>
            <w:vAlign w:val="bottom"/>
            <w:hideMark/>
          </w:tcPr>
          <w:p w14:paraId="5C70826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464" w:type="dxa"/>
            <w:tcBorders>
              <w:top w:val="nil"/>
              <w:left w:val="nil"/>
              <w:bottom w:val="double" w:sz="6" w:space="0" w:color="auto"/>
              <w:right w:val="nil"/>
            </w:tcBorders>
            <w:shd w:val="clear" w:color="auto" w:fill="auto"/>
            <w:noWrap/>
            <w:vAlign w:val="bottom"/>
            <w:hideMark/>
          </w:tcPr>
          <w:p w14:paraId="6348BD9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638" w:type="dxa"/>
            <w:tcBorders>
              <w:top w:val="nil"/>
              <w:left w:val="nil"/>
              <w:bottom w:val="double" w:sz="6" w:space="0" w:color="auto"/>
              <w:right w:val="nil"/>
            </w:tcBorders>
            <w:shd w:val="clear" w:color="auto" w:fill="auto"/>
            <w:noWrap/>
            <w:vAlign w:val="bottom"/>
            <w:hideMark/>
          </w:tcPr>
          <w:p w14:paraId="789DCE2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638" w:type="dxa"/>
            <w:tcBorders>
              <w:top w:val="nil"/>
              <w:left w:val="nil"/>
              <w:bottom w:val="double" w:sz="6" w:space="0" w:color="auto"/>
              <w:right w:val="nil"/>
            </w:tcBorders>
            <w:shd w:val="clear" w:color="auto" w:fill="auto"/>
            <w:noWrap/>
            <w:vAlign w:val="bottom"/>
            <w:hideMark/>
          </w:tcPr>
          <w:p w14:paraId="58F9890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464" w:type="dxa"/>
            <w:tcBorders>
              <w:top w:val="nil"/>
              <w:left w:val="nil"/>
              <w:bottom w:val="double" w:sz="6" w:space="0" w:color="auto"/>
              <w:right w:val="nil"/>
            </w:tcBorders>
            <w:shd w:val="clear" w:color="auto" w:fill="auto"/>
            <w:noWrap/>
            <w:vAlign w:val="bottom"/>
            <w:hideMark/>
          </w:tcPr>
          <w:p w14:paraId="780A9E7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464" w:type="dxa"/>
            <w:tcBorders>
              <w:top w:val="nil"/>
              <w:left w:val="nil"/>
              <w:bottom w:val="double" w:sz="6" w:space="0" w:color="auto"/>
              <w:right w:val="nil"/>
            </w:tcBorders>
            <w:shd w:val="clear" w:color="auto" w:fill="auto"/>
            <w:noWrap/>
            <w:vAlign w:val="bottom"/>
            <w:hideMark/>
          </w:tcPr>
          <w:p w14:paraId="4A6F368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21BAC806" w14:textId="77777777" w:rsidTr="000E49B7">
        <w:trPr>
          <w:trHeight w:val="1095"/>
          <w:jc w:val="center"/>
        </w:trPr>
        <w:tc>
          <w:tcPr>
            <w:tcW w:w="11283" w:type="dxa"/>
            <w:gridSpan w:val="7"/>
            <w:tcBorders>
              <w:top w:val="double" w:sz="6" w:space="0" w:color="auto"/>
              <w:left w:val="nil"/>
              <w:bottom w:val="nil"/>
              <w:right w:val="nil"/>
            </w:tcBorders>
            <w:shd w:val="clear" w:color="auto" w:fill="auto"/>
            <w:hideMark/>
          </w:tcPr>
          <w:p w14:paraId="26CD0162" w14:textId="77777777" w:rsidR="000E49B7" w:rsidRPr="000E49B7" w:rsidRDefault="000E49B7" w:rsidP="000E49B7">
            <w:pPr>
              <w:spacing w:after="0" w:line="240" w:lineRule="auto"/>
              <w:jc w:val="both"/>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t>Notes:</w:t>
            </w:r>
            <w:r w:rsidRPr="000E49B7">
              <w:rPr>
                <w:rFonts w:ascii="Times New Roman" w:eastAsia="Malgun Gothic" w:hAnsi="Times New Roman" w:cs="Times New Roman"/>
                <w:color w:val="000000"/>
                <w:sz w:val="20"/>
                <w:szCs w:val="20"/>
              </w:rPr>
              <w:t xml:space="preserve"> The dependent variable is the log of annual earnings. We use Equation (1) to calculate estimates. Given that the dependent variable is measured in logs, we convert the coefficients to percentages using the formula, 100 ×). The converted coefficients are then reported in brackets. Standard errors are clustered at the state level. * </w:t>
            </w:r>
            <w:proofErr w:type="gramStart"/>
            <w:r w:rsidRPr="000E49B7">
              <w:rPr>
                <w:rFonts w:ascii="Times New Roman" w:eastAsia="Malgun Gothic" w:hAnsi="Times New Roman" w:cs="Times New Roman"/>
                <w:color w:val="000000"/>
                <w:sz w:val="20"/>
                <w:szCs w:val="20"/>
              </w:rPr>
              <w:t>denotes</w:t>
            </w:r>
            <w:proofErr w:type="gramEnd"/>
            <w:r w:rsidRPr="000E49B7">
              <w:rPr>
                <w:rFonts w:ascii="Times New Roman" w:eastAsia="Malgun Gothic" w:hAnsi="Times New Roman" w:cs="Times New Roman"/>
                <w:color w:val="000000"/>
                <w:sz w:val="20"/>
                <w:szCs w:val="20"/>
              </w:rPr>
              <w:t xml:space="preserve"> significance at the ten percent level, ** denotes at the five percent level, and *** denotes at the one percent level.</w:t>
            </w:r>
          </w:p>
        </w:tc>
      </w:tr>
    </w:tbl>
    <w:p w14:paraId="7FEF23C4" w14:textId="77777777" w:rsidR="000E49B7" w:rsidRDefault="000E49B7" w:rsidP="00010080">
      <w:pPr>
        <w:autoSpaceDE w:val="0"/>
        <w:autoSpaceDN w:val="0"/>
        <w:adjustRightInd w:val="0"/>
        <w:spacing w:after="0" w:line="240" w:lineRule="auto"/>
        <w:jc w:val="both"/>
        <w:rPr>
          <w:rFonts w:ascii="Times New Roman" w:eastAsia="CMR12" w:hAnsi="Times New Roman" w:cs="Times New Roman"/>
          <w:sz w:val="24"/>
          <w:szCs w:val="24"/>
          <w14:ligatures w14:val="standardContextual"/>
        </w:rPr>
        <w:sectPr w:rsidR="000E49B7" w:rsidSect="000E49B7">
          <w:pgSz w:w="16838" w:h="11906" w:orient="landscape"/>
          <w:pgMar w:top="1440" w:right="1440" w:bottom="1440" w:left="1440" w:header="851" w:footer="992" w:gutter="0"/>
          <w:cols w:space="425"/>
          <w:docGrid w:linePitch="360"/>
        </w:sectPr>
      </w:pPr>
    </w:p>
    <w:tbl>
      <w:tblPr>
        <w:tblW w:w="12720" w:type="dxa"/>
        <w:jc w:val="center"/>
        <w:tblCellMar>
          <w:left w:w="99" w:type="dxa"/>
          <w:right w:w="99" w:type="dxa"/>
        </w:tblCellMar>
        <w:tblLook w:val="04A0" w:firstRow="1" w:lastRow="0" w:firstColumn="1" w:lastColumn="0" w:noHBand="0" w:noVBand="1"/>
      </w:tblPr>
      <w:tblGrid>
        <w:gridCol w:w="2344"/>
        <w:gridCol w:w="1297"/>
        <w:gridCol w:w="1297"/>
        <w:gridCol w:w="1297"/>
        <w:gridCol w:w="1297"/>
        <w:gridCol w:w="1297"/>
        <w:gridCol w:w="1297"/>
        <w:gridCol w:w="1297"/>
        <w:gridCol w:w="1297"/>
      </w:tblGrid>
      <w:tr w:rsidR="000E49B7" w:rsidRPr="000E49B7" w14:paraId="28A78C95" w14:textId="77777777" w:rsidTr="000E49B7">
        <w:trPr>
          <w:trHeight w:val="345"/>
          <w:jc w:val="center"/>
        </w:trPr>
        <w:tc>
          <w:tcPr>
            <w:tcW w:w="12720" w:type="dxa"/>
            <w:gridSpan w:val="9"/>
            <w:tcBorders>
              <w:top w:val="nil"/>
              <w:left w:val="nil"/>
              <w:bottom w:val="double" w:sz="6" w:space="0" w:color="auto"/>
              <w:right w:val="nil"/>
            </w:tcBorders>
            <w:shd w:val="clear" w:color="auto" w:fill="auto"/>
            <w:noWrap/>
            <w:vAlign w:val="center"/>
            <w:hideMark/>
          </w:tcPr>
          <w:p w14:paraId="0A959CA8"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lastRenderedPageBreak/>
              <w:t>Table 4: Controlling for Local Amenities</w:t>
            </w:r>
          </w:p>
        </w:tc>
      </w:tr>
      <w:tr w:rsidR="000E49B7" w:rsidRPr="000E49B7" w14:paraId="71AADA57" w14:textId="77777777" w:rsidTr="000E49B7">
        <w:trPr>
          <w:trHeight w:val="345"/>
          <w:jc w:val="center"/>
        </w:trPr>
        <w:tc>
          <w:tcPr>
            <w:tcW w:w="2344" w:type="dxa"/>
            <w:tcBorders>
              <w:top w:val="nil"/>
              <w:left w:val="nil"/>
              <w:bottom w:val="nil"/>
              <w:right w:val="nil"/>
            </w:tcBorders>
            <w:shd w:val="clear" w:color="auto" w:fill="auto"/>
            <w:noWrap/>
            <w:vAlign w:val="center"/>
            <w:hideMark/>
          </w:tcPr>
          <w:p w14:paraId="3EC908C5"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p>
        </w:tc>
        <w:tc>
          <w:tcPr>
            <w:tcW w:w="10376" w:type="dxa"/>
            <w:gridSpan w:val="8"/>
            <w:tcBorders>
              <w:top w:val="double" w:sz="6" w:space="0" w:color="auto"/>
              <w:left w:val="nil"/>
              <w:bottom w:val="single" w:sz="4" w:space="0" w:color="auto"/>
              <w:right w:val="nil"/>
            </w:tcBorders>
            <w:shd w:val="clear" w:color="auto" w:fill="auto"/>
            <w:noWrap/>
            <w:vAlign w:val="center"/>
            <w:hideMark/>
          </w:tcPr>
          <w:p w14:paraId="416242D6" w14:textId="0ADE75F1"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Dep. Variable: ln</w:t>
            </w:r>
            <w:r>
              <w:rPr>
                <w:rFonts w:ascii="Times New Roman" w:eastAsia="Malgun Gothic" w:hAnsi="Times New Roman" w:cs="Times New Roman"/>
                <w:color w:val="000000"/>
                <w:sz w:val="24"/>
                <w:szCs w:val="24"/>
              </w:rPr>
              <w:t xml:space="preserve"> </w:t>
            </w:r>
            <w:r w:rsidRPr="000E49B7">
              <w:rPr>
                <w:rFonts w:ascii="Times New Roman" w:eastAsia="Malgun Gothic" w:hAnsi="Times New Roman" w:cs="Times New Roman"/>
                <w:color w:val="000000"/>
                <w:sz w:val="24"/>
                <w:szCs w:val="24"/>
              </w:rPr>
              <w:t>(Annual Earnings)</w:t>
            </w:r>
          </w:p>
        </w:tc>
      </w:tr>
      <w:tr w:rsidR="000E49B7" w:rsidRPr="000E49B7" w14:paraId="0F09BD08" w14:textId="77777777" w:rsidTr="000E49B7">
        <w:trPr>
          <w:trHeight w:val="330"/>
          <w:jc w:val="center"/>
        </w:trPr>
        <w:tc>
          <w:tcPr>
            <w:tcW w:w="2344" w:type="dxa"/>
            <w:tcBorders>
              <w:top w:val="nil"/>
              <w:left w:val="nil"/>
              <w:bottom w:val="nil"/>
              <w:right w:val="nil"/>
            </w:tcBorders>
            <w:shd w:val="clear" w:color="auto" w:fill="auto"/>
            <w:noWrap/>
            <w:vAlign w:val="bottom"/>
            <w:hideMark/>
          </w:tcPr>
          <w:p w14:paraId="42872A3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297" w:type="dxa"/>
            <w:tcBorders>
              <w:top w:val="nil"/>
              <w:left w:val="nil"/>
              <w:bottom w:val="nil"/>
              <w:right w:val="nil"/>
            </w:tcBorders>
            <w:shd w:val="clear" w:color="auto" w:fill="auto"/>
            <w:noWrap/>
            <w:vAlign w:val="bottom"/>
            <w:hideMark/>
          </w:tcPr>
          <w:p w14:paraId="566AC443"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Women</w:t>
            </w:r>
          </w:p>
        </w:tc>
        <w:tc>
          <w:tcPr>
            <w:tcW w:w="1297" w:type="dxa"/>
            <w:tcBorders>
              <w:top w:val="nil"/>
              <w:left w:val="nil"/>
              <w:bottom w:val="nil"/>
              <w:right w:val="nil"/>
            </w:tcBorders>
            <w:shd w:val="clear" w:color="auto" w:fill="auto"/>
            <w:noWrap/>
            <w:vAlign w:val="bottom"/>
            <w:hideMark/>
          </w:tcPr>
          <w:p w14:paraId="58F82118"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Men</w:t>
            </w:r>
          </w:p>
        </w:tc>
        <w:tc>
          <w:tcPr>
            <w:tcW w:w="1297" w:type="dxa"/>
            <w:tcBorders>
              <w:top w:val="nil"/>
              <w:left w:val="nil"/>
              <w:bottom w:val="nil"/>
              <w:right w:val="nil"/>
            </w:tcBorders>
            <w:shd w:val="clear" w:color="auto" w:fill="auto"/>
            <w:noWrap/>
            <w:vAlign w:val="bottom"/>
            <w:hideMark/>
          </w:tcPr>
          <w:p w14:paraId="421A7EFE"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Women</w:t>
            </w:r>
          </w:p>
        </w:tc>
        <w:tc>
          <w:tcPr>
            <w:tcW w:w="1297" w:type="dxa"/>
            <w:tcBorders>
              <w:top w:val="nil"/>
              <w:left w:val="nil"/>
              <w:bottom w:val="nil"/>
              <w:right w:val="nil"/>
            </w:tcBorders>
            <w:shd w:val="clear" w:color="auto" w:fill="auto"/>
            <w:noWrap/>
            <w:vAlign w:val="bottom"/>
            <w:hideMark/>
          </w:tcPr>
          <w:p w14:paraId="0D86B7FC"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Men</w:t>
            </w:r>
          </w:p>
        </w:tc>
        <w:tc>
          <w:tcPr>
            <w:tcW w:w="1297" w:type="dxa"/>
            <w:tcBorders>
              <w:top w:val="nil"/>
              <w:left w:val="nil"/>
              <w:bottom w:val="nil"/>
              <w:right w:val="nil"/>
            </w:tcBorders>
            <w:shd w:val="clear" w:color="auto" w:fill="auto"/>
            <w:noWrap/>
            <w:vAlign w:val="bottom"/>
            <w:hideMark/>
          </w:tcPr>
          <w:p w14:paraId="044CECA2"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Women</w:t>
            </w:r>
          </w:p>
        </w:tc>
        <w:tc>
          <w:tcPr>
            <w:tcW w:w="1297" w:type="dxa"/>
            <w:tcBorders>
              <w:top w:val="nil"/>
              <w:left w:val="nil"/>
              <w:bottom w:val="nil"/>
              <w:right w:val="nil"/>
            </w:tcBorders>
            <w:shd w:val="clear" w:color="auto" w:fill="auto"/>
            <w:noWrap/>
            <w:vAlign w:val="bottom"/>
            <w:hideMark/>
          </w:tcPr>
          <w:p w14:paraId="161EAB2A"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Men</w:t>
            </w:r>
          </w:p>
        </w:tc>
        <w:tc>
          <w:tcPr>
            <w:tcW w:w="1297" w:type="dxa"/>
            <w:tcBorders>
              <w:top w:val="nil"/>
              <w:left w:val="nil"/>
              <w:bottom w:val="nil"/>
              <w:right w:val="nil"/>
            </w:tcBorders>
            <w:shd w:val="clear" w:color="auto" w:fill="auto"/>
            <w:noWrap/>
            <w:vAlign w:val="bottom"/>
            <w:hideMark/>
          </w:tcPr>
          <w:p w14:paraId="31993975"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Women</w:t>
            </w:r>
          </w:p>
        </w:tc>
        <w:tc>
          <w:tcPr>
            <w:tcW w:w="1297" w:type="dxa"/>
            <w:tcBorders>
              <w:top w:val="nil"/>
              <w:left w:val="nil"/>
              <w:bottom w:val="nil"/>
              <w:right w:val="nil"/>
            </w:tcBorders>
            <w:shd w:val="clear" w:color="auto" w:fill="auto"/>
            <w:noWrap/>
            <w:vAlign w:val="bottom"/>
            <w:hideMark/>
          </w:tcPr>
          <w:p w14:paraId="5E3E171E" w14:textId="77777777" w:rsidR="000E49B7" w:rsidRPr="000E49B7" w:rsidRDefault="000E49B7" w:rsidP="000E49B7">
            <w:pPr>
              <w:spacing w:after="0" w:line="240" w:lineRule="auto"/>
              <w:jc w:val="center"/>
              <w:rPr>
                <w:rFonts w:ascii="Times New Roman" w:eastAsia="Malgun Gothic" w:hAnsi="Times New Roman" w:cs="Times New Roman"/>
                <w:b/>
                <w:bCs/>
                <w:color w:val="000000"/>
              </w:rPr>
            </w:pPr>
            <w:r w:rsidRPr="000E49B7">
              <w:rPr>
                <w:rFonts w:ascii="Times New Roman" w:eastAsia="Malgun Gothic" w:hAnsi="Times New Roman" w:cs="Times New Roman"/>
                <w:b/>
                <w:bCs/>
                <w:color w:val="000000"/>
              </w:rPr>
              <w:t>Men</w:t>
            </w:r>
          </w:p>
        </w:tc>
      </w:tr>
      <w:tr w:rsidR="000E49B7" w:rsidRPr="000E49B7" w14:paraId="5FF3C365" w14:textId="77777777" w:rsidTr="000E49B7">
        <w:trPr>
          <w:trHeight w:val="330"/>
          <w:jc w:val="center"/>
        </w:trPr>
        <w:tc>
          <w:tcPr>
            <w:tcW w:w="2344" w:type="dxa"/>
            <w:tcBorders>
              <w:top w:val="nil"/>
              <w:left w:val="nil"/>
              <w:bottom w:val="single" w:sz="4" w:space="0" w:color="auto"/>
              <w:right w:val="nil"/>
            </w:tcBorders>
            <w:shd w:val="clear" w:color="auto" w:fill="auto"/>
            <w:noWrap/>
            <w:vAlign w:val="bottom"/>
            <w:hideMark/>
          </w:tcPr>
          <w:p w14:paraId="03A59B4D" w14:textId="77777777" w:rsidR="000E49B7" w:rsidRPr="000E49B7" w:rsidRDefault="000E49B7" w:rsidP="000E49B7">
            <w:pPr>
              <w:spacing w:after="0" w:line="240" w:lineRule="auto"/>
              <w:rPr>
                <w:rFonts w:ascii="Times New Roman" w:eastAsia="Malgun Gothic" w:hAnsi="Times New Roman" w:cs="Times New Roman"/>
                <w:color w:val="000000"/>
              </w:rPr>
            </w:pPr>
            <w:r w:rsidRPr="000E49B7">
              <w:rPr>
                <w:rFonts w:ascii="Times New Roman" w:eastAsia="Malgun Gothic" w:hAnsi="Times New Roman" w:cs="Times New Roman"/>
                <w:color w:val="000000"/>
              </w:rPr>
              <w:t xml:space="preserve">　</w:t>
            </w:r>
          </w:p>
        </w:tc>
        <w:tc>
          <w:tcPr>
            <w:tcW w:w="1297" w:type="dxa"/>
            <w:tcBorders>
              <w:top w:val="nil"/>
              <w:left w:val="nil"/>
              <w:bottom w:val="single" w:sz="4" w:space="0" w:color="auto"/>
              <w:right w:val="nil"/>
            </w:tcBorders>
            <w:shd w:val="clear" w:color="auto" w:fill="auto"/>
            <w:noWrap/>
            <w:vAlign w:val="bottom"/>
            <w:hideMark/>
          </w:tcPr>
          <w:p w14:paraId="03437FB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w:t>
            </w:r>
          </w:p>
        </w:tc>
        <w:tc>
          <w:tcPr>
            <w:tcW w:w="1297" w:type="dxa"/>
            <w:tcBorders>
              <w:top w:val="nil"/>
              <w:left w:val="nil"/>
              <w:bottom w:val="single" w:sz="4" w:space="0" w:color="auto"/>
              <w:right w:val="nil"/>
            </w:tcBorders>
            <w:shd w:val="clear" w:color="auto" w:fill="auto"/>
            <w:noWrap/>
            <w:vAlign w:val="bottom"/>
            <w:hideMark/>
          </w:tcPr>
          <w:p w14:paraId="4F873F6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w:t>
            </w:r>
          </w:p>
        </w:tc>
        <w:tc>
          <w:tcPr>
            <w:tcW w:w="1297" w:type="dxa"/>
            <w:tcBorders>
              <w:top w:val="nil"/>
              <w:left w:val="nil"/>
              <w:bottom w:val="single" w:sz="4" w:space="0" w:color="auto"/>
              <w:right w:val="nil"/>
            </w:tcBorders>
            <w:shd w:val="clear" w:color="auto" w:fill="auto"/>
            <w:noWrap/>
            <w:vAlign w:val="bottom"/>
            <w:hideMark/>
          </w:tcPr>
          <w:p w14:paraId="129968C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w:t>
            </w:r>
          </w:p>
        </w:tc>
        <w:tc>
          <w:tcPr>
            <w:tcW w:w="1297" w:type="dxa"/>
            <w:tcBorders>
              <w:top w:val="nil"/>
              <w:left w:val="nil"/>
              <w:bottom w:val="single" w:sz="4" w:space="0" w:color="auto"/>
              <w:right w:val="nil"/>
            </w:tcBorders>
            <w:shd w:val="clear" w:color="auto" w:fill="auto"/>
            <w:noWrap/>
            <w:vAlign w:val="bottom"/>
            <w:hideMark/>
          </w:tcPr>
          <w:p w14:paraId="2254A66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(4)</w:t>
            </w:r>
          </w:p>
        </w:tc>
        <w:tc>
          <w:tcPr>
            <w:tcW w:w="1297" w:type="dxa"/>
            <w:tcBorders>
              <w:top w:val="nil"/>
              <w:left w:val="nil"/>
              <w:bottom w:val="single" w:sz="4" w:space="0" w:color="auto"/>
              <w:right w:val="nil"/>
            </w:tcBorders>
            <w:shd w:val="clear" w:color="auto" w:fill="auto"/>
            <w:noWrap/>
            <w:vAlign w:val="bottom"/>
            <w:hideMark/>
          </w:tcPr>
          <w:p w14:paraId="247FB12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(5)</w:t>
            </w:r>
          </w:p>
        </w:tc>
        <w:tc>
          <w:tcPr>
            <w:tcW w:w="1297" w:type="dxa"/>
            <w:tcBorders>
              <w:top w:val="nil"/>
              <w:left w:val="nil"/>
              <w:bottom w:val="single" w:sz="4" w:space="0" w:color="auto"/>
              <w:right w:val="nil"/>
            </w:tcBorders>
            <w:shd w:val="clear" w:color="auto" w:fill="auto"/>
            <w:noWrap/>
            <w:vAlign w:val="bottom"/>
            <w:hideMark/>
          </w:tcPr>
          <w:p w14:paraId="51BBFDC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(6)</w:t>
            </w:r>
          </w:p>
        </w:tc>
        <w:tc>
          <w:tcPr>
            <w:tcW w:w="1297" w:type="dxa"/>
            <w:tcBorders>
              <w:top w:val="nil"/>
              <w:left w:val="nil"/>
              <w:bottom w:val="single" w:sz="4" w:space="0" w:color="auto"/>
              <w:right w:val="nil"/>
            </w:tcBorders>
            <w:shd w:val="clear" w:color="auto" w:fill="auto"/>
            <w:noWrap/>
            <w:vAlign w:val="bottom"/>
            <w:hideMark/>
          </w:tcPr>
          <w:p w14:paraId="3404C37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(7)</w:t>
            </w:r>
          </w:p>
        </w:tc>
        <w:tc>
          <w:tcPr>
            <w:tcW w:w="1297" w:type="dxa"/>
            <w:tcBorders>
              <w:top w:val="nil"/>
              <w:left w:val="nil"/>
              <w:bottom w:val="single" w:sz="4" w:space="0" w:color="auto"/>
              <w:right w:val="nil"/>
            </w:tcBorders>
            <w:shd w:val="clear" w:color="auto" w:fill="auto"/>
            <w:noWrap/>
            <w:vAlign w:val="bottom"/>
            <w:hideMark/>
          </w:tcPr>
          <w:p w14:paraId="35CBA13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(8)</w:t>
            </w:r>
          </w:p>
        </w:tc>
      </w:tr>
      <w:tr w:rsidR="000E49B7" w:rsidRPr="000E49B7" w14:paraId="5E4AE6CD" w14:textId="77777777" w:rsidTr="000E49B7">
        <w:trPr>
          <w:trHeight w:val="330"/>
          <w:jc w:val="center"/>
        </w:trPr>
        <w:tc>
          <w:tcPr>
            <w:tcW w:w="2344" w:type="dxa"/>
            <w:tcBorders>
              <w:top w:val="nil"/>
              <w:left w:val="nil"/>
              <w:bottom w:val="nil"/>
              <w:right w:val="nil"/>
            </w:tcBorders>
            <w:shd w:val="clear" w:color="auto" w:fill="auto"/>
            <w:noWrap/>
            <w:vAlign w:val="bottom"/>
            <w:hideMark/>
          </w:tcPr>
          <w:p w14:paraId="259BD76E"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STEM*CB </w:t>
            </w:r>
          </w:p>
        </w:tc>
        <w:tc>
          <w:tcPr>
            <w:tcW w:w="1297" w:type="dxa"/>
            <w:tcBorders>
              <w:top w:val="nil"/>
              <w:left w:val="nil"/>
              <w:bottom w:val="nil"/>
              <w:right w:val="nil"/>
            </w:tcBorders>
            <w:shd w:val="clear" w:color="auto" w:fill="auto"/>
            <w:noWrap/>
            <w:vAlign w:val="bottom"/>
            <w:hideMark/>
          </w:tcPr>
          <w:p w14:paraId="66A4535A"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0.0718***</w:t>
            </w:r>
          </w:p>
        </w:tc>
        <w:tc>
          <w:tcPr>
            <w:tcW w:w="1297" w:type="dxa"/>
            <w:tcBorders>
              <w:top w:val="nil"/>
              <w:left w:val="nil"/>
              <w:bottom w:val="nil"/>
              <w:right w:val="nil"/>
            </w:tcBorders>
            <w:shd w:val="clear" w:color="auto" w:fill="auto"/>
            <w:noWrap/>
            <w:vAlign w:val="bottom"/>
            <w:hideMark/>
          </w:tcPr>
          <w:p w14:paraId="491E8CF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0.0242</w:t>
            </w:r>
          </w:p>
        </w:tc>
        <w:tc>
          <w:tcPr>
            <w:tcW w:w="1297" w:type="dxa"/>
            <w:tcBorders>
              <w:top w:val="nil"/>
              <w:left w:val="nil"/>
              <w:bottom w:val="nil"/>
              <w:right w:val="nil"/>
            </w:tcBorders>
            <w:shd w:val="clear" w:color="auto" w:fill="auto"/>
            <w:noWrap/>
            <w:vAlign w:val="bottom"/>
            <w:hideMark/>
          </w:tcPr>
          <w:p w14:paraId="3412E7CD"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0.0707***</w:t>
            </w:r>
          </w:p>
        </w:tc>
        <w:tc>
          <w:tcPr>
            <w:tcW w:w="1297" w:type="dxa"/>
            <w:tcBorders>
              <w:top w:val="nil"/>
              <w:left w:val="nil"/>
              <w:bottom w:val="nil"/>
              <w:right w:val="nil"/>
            </w:tcBorders>
            <w:shd w:val="clear" w:color="auto" w:fill="auto"/>
            <w:noWrap/>
            <w:vAlign w:val="bottom"/>
            <w:hideMark/>
          </w:tcPr>
          <w:p w14:paraId="545377EA"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0.0258</w:t>
            </w:r>
          </w:p>
        </w:tc>
        <w:tc>
          <w:tcPr>
            <w:tcW w:w="1297" w:type="dxa"/>
            <w:tcBorders>
              <w:top w:val="nil"/>
              <w:left w:val="nil"/>
              <w:bottom w:val="nil"/>
              <w:right w:val="nil"/>
            </w:tcBorders>
            <w:shd w:val="clear" w:color="auto" w:fill="auto"/>
            <w:noWrap/>
            <w:vAlign w:val="bottom"/>
            <w:hideMark/>
          </w:tcPr>
          <w:p w14:paraId="212C410C"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0.0718***</w:t>
            </w:r>
          </w:p>
        </w:tc>
        <w:tc>
          <w:tcPr>
            <w:tcW w:w="1297" w:type="dxa"/>
            <w:tcBorders>
              <w:top w:val="nil"/>
              <w:left w:val="nil"/>
              <w:bottom w:val="nil"/>
              <w:right w:val="nil"/>
            </w:tcBorders>
            <w:shd w:val="clear" w:color="auto" w:fill="auto"/>
            <w:noWrap/>
            <w:vAlign w:val="bottom"/>
            <w:hideMark/>
          </w:tcPr>
          <w:p w14:paraId="39C8388F"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0.0242</w:t>
            </w:r>
          </w:p>
        </w:tc>
        <w:tc>
          <w:tcPr>
            <w:tcW w:w="1297" w:type="dxa"/>
            <w:tcBorders>
              <w:top w:val="nil"/>
              <w:left w:val="nil"/>
              <w:bottom w:val="nil"/>
              <w:right w:val="nil"/>
            </w:tcBorders>
            <w:shd w:val="clear" w:color="auto" w:fill="auto"/>
            <w:noWrap/>
            <w:vAlign w:val="bottom"/>
            <w:hideMark/>
          </w:tcPr>
          <w:p w14:paraId="512E9F90"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0.0718***</w:t>
            </w:r>
          </w:p>
        </w:tc>
        <w:tc>
          <w:tcPr>
            <w:tcW w:w="1297" w:type="dxa"/>
            <w:tcBorders>
              <w:top w:val="nil"/>
              <w:left w:val="nil"/>
              <w:bottom w:val="nil"/>
              <w:right w:val="nil"/>
            </w:tcBorders>
            <w:shd w:val="clear" w:color="auto" w:fill="auto"/>
            <w:noWrap/>
            <w:vAlign w:val="bottom"/>
            <w:hideMark/>
          </w:tcPr>
          <w:p w14:paraId="04AC3A72"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0.0242</w:t>
            </w:r>
          </w:p>
        </w:tc>
      </w:tr>
      <w:tr w:rsidR="000E49B7" w:rsidRPr="000E49B7" w14:paraId="6361C654" w14:textId="77777777" w:rsidTr="000E49B7">
        <w:trPr>
          <w:trHeight w:val="330"/>
          <w:jc w:val="center"/>
        </w:trPr>
        <w:tc>
          <w:tcPr>
            <w:tcW w:w="2344" w:type="dxa"/>
            <w:tcBorders>
              <w:top w:val="nil"/>
              <w:left w:val="nil"/>
              <w:bottom w:val="nil"/>
              <w:right w:val="nil"/>
            </w:tcBorders>
            <w:shd w:val="clear" w:color="auto" w:fill="auto"/>
            <w:noWrap/>
            <w:vAlign w:val="bottom"/>
            <w:hideMark/>
          </w:tcPr>
          <w:p w14:paraId="7A8539EF"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297" w:type="dxa"/>
            <w:tcBorders>
              <w:top w:val="nil"/>
              <w:left w:val="nil"/>
              <w:bottom w:val="nil"/>
              <w:right w:val="nil"/>
            </w:tcBorders>
            <w:shd w:val="clear" w:color="auto" w:fill="auto"/>
            <w:noWrap/>
            <w:vAlign w:val="bottom"/>
            <w:hideMark/>
          </w:tcPr>
          <w:p w14:paraId="640C8281"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(0.0227)</w:t>
            </w:r>
          </w:p>
        </w:tc>
        <w:tc>
          <w:tcPr>
            <w:tcW w:w="1297" w:type="dxa"/>
            <w:tcBorders>
              <w:top w:val="nil"/>
              <w:left w:val="nil"/>
              <w:bottom w:val="nil"/>
              <w:right w:val="nil"/>
            </w:tcBorders>
            <w:shd w:val="clear" w:color="auto" w:fill="auto"/>
            <w:noWrap/>
            <w:vAlign w:val="bottom"/>
            <w:hideMark/>
          </w:tcPr>
          <w:p w14:paraId="4EF7724B"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(0.0159)</w:t>
            </w:r>
          </w:p>
        </w:tc>
        <w:tc>
          <w:tcPr>
            <w:tcW w:w="1297" w:type="dxa"/>
            <w:tcBorders>
              <w:top w:val="nil"/>
              <w:left w:val="nil"/>
              <w:bottom w:val="nil"/>
              <w:right w:val="nil"/>
            </w:tcBorders>
            <w:shd w:val="clear" w:color="auto" w:fill="auto"/>
            <w:noWrap/>
            <w:vAlign w:val="bottom"/>
            <w:hideMark/>
          </w:tcPr>
          <w:p w14:paraId="05E8828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(0.0231)</w:t>
            </w:r>
          </w:p>
        </w:tc>
        <w:tc>
          <w:tcPr>
            <w:tcW w:w="1297" w:type="dxa"/>
            <w:tcBorders>
              <w:top w:val="nil"/>
              <w:left w:val="nil"/>
              <w:bottom w:val="nil"/>
              <w:right w:val="nil"/>
            </w:tcBorders>
            <w:shd w:val="clear" w:color="auto" w:fill="auto"/>
            <w:noWrap/>
            <w:vAlign w:val="bottom"/>
            <w:hideMark/>
          </w:tcPr>
          <w:p w14:paraId="43E39835"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(0.0158)</w:t>
            </w:r>
          </w:p>
        </w:tc>
        <w:tc>
          <w:tcPr>
            <w:tcW w:w="1297" w:type="dxa"/>
            <w:tcBorders>
              <w:top w:val="nil"/>
              <w:left w:val="nil"/>
              <w:bottom w:val="nil"/>
              <w:right w:val="nil"/>
            </w:tcBorders>
            <w:shd w:val="clear" w:color="auto" w:fill="auto"/>
            <w:noWrap/>
            <w:vAlign w:val="bottom"/>
            <w:hideMark/>
          </w:tcPr>
          <w:p w14:paraId="0D53011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(0.0227)</w:t>
            </w:r>
          </w:p>
        </w:tc>
        <w:tc>
          <w:tcPr>
            <w:tcW w:w="1297" w:type="dxa"/>
            <w:tcBorders>
              <w:top w:val="nil"/>
              <w:left w:val="nil"/>
              <w:bottom w:val="nil"/>
              <w:right w:val="nil"/>
            </w:tcBorders>
            <w:shd w:val="clear" w:color="auto" w:fill="auto"/>
            <w:noWrap/>
            <w:vAlign w:val="bottom"/>
            <w:hideMark/>
          </w:tcPr>
          <w:p w14:paraId="445CE4E2"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(0.0159)</w:t>
            </w:r>
          </w:p>
        </w:tc>
        <w:tc>
          <w:tcPr>
            <w:tcW w:w="1297" w:type="dxa"/>
            <w:tcBorders>
              <w:top w:val="nil"/>
              <w:left w:val="nil"/>
              <w:bottom w:val="nil"/>
              <w:right w:val="nil"/>
            </w:tcBorders>
            <w:shd w:val="clear" w:color="auto" w:fill="auto"/>
            <w:noWrap/>
            <w:vAlign w:val="bottom"/>
            <w:hideMark/>
          </w:tcPr>
          <w:p w14:paraId="3AC587AC"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(0.0227)</w:t>
            </w:r>
          </w:p>
        </w:tc>
        <w:tc>
          <w:tcPr>
            <w:tcW w:w="1297" w:type="dxa"/>
            <w:tcBorders>
              <w:top w:val="nil"/>
              <w:left w:val="nil"/>
              <w:bottom w:val="nil"/>
              <w:right w:val="nil"/>
            </w:tcBorders>
            <w:shd w:val="clear" w:color="auto" w:fill="auto"/>
            <w:noWrap/>
            <w:vAlign w:val="bottom"/>
            <w:hideMark/>
          </w:tcPr>
          <w:p w14:paraId="46F2959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(0.0159)</w:t>
            </w:r>
          </w:p>
        </w:tc>
      </w:tr>
      <w:tr w:rsidR="000E49B7" w:rsidRPr="000E49B7" w14:paraId="0C25FBA3" w14:textId="77777777" w:rsidTr="000E49B7">
        <w:trPr>
          <w:trHeight w:val="330"/>
          <w:jc w:val="center"/>
        </w:trPr>
        <w:tc>
          <w:tcPr>
            <w:tcW w:w="2344" w:type="dxa"/>
            <w:tcBorders>
              <w:top w:val="nil"/>
              <w:left w:val="nil"/>
              <w:bottom w:val="nil"/>
              <w:right w:val="nil"/>
            </w:tcBorders>
            <w:shd w:val="clear" w:color="auto" w:fill="auto"/>
            <w:noWrap/>
            <w:vAlign w:val="bottom"/>
            <w:hideMark/>
          </w:tcPr>
          <w:p w14:paraId="390263C0"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
        </w:tc>
        <w:tc>
          <w:tcPr>
            <w:tcW w:w="1297" w:type="dxa"/>
            <w:tcBorders>
              <w:top w:val="nil"/>
              <w:left w:val="nil"/>
              <w:bottom w:val="nil"/>
              <w:right w:val="nil"/>
            </w:tcBorders>
            <w:shd w:val="clear" w:color="auto" w:fill="auto"/>
            <w:noWrap/>
            <w:vAlign w:val="bottom"/>
            <w:hideMark/>
          </w:tcPr>
          <w:p w14:paraId="2BB9916C"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-0.1183***</w:t>
            </w:r>
          </w:p>
        </w:tc>
        <w:tc>
          <w:tcPr>
            <w:tcW w:w="1297" w:type="dxa"/>
            <w:tcBorders>
              <w:top w:val="nil"/>
              <w:left w:val="nil"/>
              <w:bottom w:val="nil"/>
              <w:right w:val="nil"/>
            </w:tcBorders>
            <w:shd w:val="clear" w:color="auto" w:fill="auto"/>
            <w:noWrap/>
            <w:vAlign w:val="bottom"/>
            <w:hideMark/>
          </w:tcPr>
          <w:p w14:paraId="090C9974"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-0.0361***</w:t>
            </w:r>
          </w:p>
        </w:tc>
        <w:tc>
          <w:tcPr>
            <w:tcW w:w="1297" w:type="dxa"/>
            <w:tcBorders>
              <w:top w:val="nil"/>
              <w:left w:val="nil"/>
              <w:bottom w:val="nil"/>
              <w:right w:val="nil"/>
            </w:tcBorders>
            <w:shd w:val="clear" w:color="auto" w:fill="auto"/>
            <w:noWrap/>
            <w:vAlign w:val="bottom"/>
            <w:hideMark/>
          </w:tcPr>
          <w:p w14:paraId="4367B9FA"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-0.1181***</w:t>
            </w:r>
          </w:p>
        </w:tc>
        <w:tc>
          <w:tcPr>
            <w:tcW w:w="1297" w:type="dxa"/>
            <w:tcBorders>
              <w:top w:val="nil"/>
              <w:left w:val="nil"/>
              <w:bottom w:val="nil"/>
              <w:right w:val="nil"/>
            </w:tcBorders>
            <w:shd w:val="clear" w:color="auto" w:fill="auto"/>
            <w:noWrap/>
            <w:vAlign w:val="bottom"/>
            <w:hideMark/>
          </w:tcPr>
          <w:p w14:paraId="7D56868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-0.0362***</w:t>
            </w:r>
          </w:p>
        </w:tc>
        <w:tc>
          <w:tcPr>
            <w:tcW w:w="1297" w:type="dxa"/>
            <w:tcBorders>
              <w:top w:val="nil"/>
              <w:left w:val="nil"/>
              <w:bottom w:val="nil"/>
              <w:right w:val="nil"/>
            </w:tcBorders>
            <w:shd w:val="clear" w:color="auto" w:fill="auto"/>
            <w:noWrap/>
            <w:vAlign w:val="bottom"/>
            <w:hideMark/>
          </w:tcPr>
          <w:p w14:paraId="7B74F48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-0.1183***</w:t>
            </w:r>
          </w:p>
        </w:tc>
        <w:tc>
          <w:tcPr>
            <w:tcW w:w="1297" w:type="dxa"/>
            <w:tcBorders>
              <w:top w:val="nil"/>
              <w:left w:val="nil"/>
              <w:bottom w:val="nil"/>
              <w:right w:val="nil"/>
            </w:tcBorders>
            <w:shd w:val="clear" w:color="auto" w:fill="auto"/>
            <w:noWrap/>
            <w:vAlign w:val="bottom"/>
            <w:hideMark/>
          </w:tcPr>
          <w:p w14:paraId="50D53A6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-0.0361***</w:t>
            </w:r>
          </w:p>
        </w:tc>
        <w:tc>
          <w:tcPr>
            <w:tcW w:w="1297" w:type="dxa"/>
            <w:tcBorders>
              <w:top w:val="nil"/>
              <w:left w:val="nil"/>
              <w:bottom w:val="nil"/>
              <w:right w:val="nil"/>
            </w:tcBorders>
            <w:shd w:val="clear" w:color="auto" w:fill="auto"/>
            <w:noWrap/>
            <w:vAlign w:val="bottom"/>
            <w:hideMark/>
          </w:tcPr>
          <w:p w14:paraId="1F2E622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-0.1184***</w:t>
            </w:r>
          </w:p>
        </w:tc>
        <w:tc>
          <w:tcPr>
            <w:tcW w:w="1297" w:type="dxa"/>
            <w:tcBorders>
              <w:top w:val="nil"/>
              <w:left w:val="nil"/>
              <w:bottom w:val="nil"/>
              <w:right w:val="nil"/>
            </w:tcBorders>
            <w:shd w:val="clear" w:color="auto" w:fill="auto"/>
            <w:noWrap/>
            <w:vAlign w:val="bottom"/>
            <w:hideMark/>
          </w:tcPr>
          <w:p w14:paraId="517838C0"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-0.0361***</w:t>
            </w:r>
          </w:p>
        </w:tc>
      </w:tr>
      <w:tr w:rsidR="000E49B7" w:rsidRPr="000E49B7" w14:paraId="19B6F31B" w14:textId="77777777" w:rsidTr="000E49B7">
        <w:trPr>
          <w:trHeight w:val="330"/>
          <w:jc w:val="center"/>
        </w:trPr>
        <w:tc>
          <w:tcPr>
            <w:tcW w:w="2344" w:type="dxa"/>
            <w:tcBorders>
              <w:top w:val="nil"/>
              <w:left w:val="nil"/>
              <w:bottom w:val="nil"/>
              <w:right w:val="nil"/>
            </w:tcBorders>
            <w:shd w:val="clear" w:color="auto" w:fill="auto"/>
            <w:noWrap/>
            <w:vAlign w:val="bottom"/>
            <w:hideMark/>
          </w:tcPr>
          <w:p w14:paraId="2833668C"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297" w:type="dxa"/>
            <w:tcBorders>
              <w:top w:val="nil"/>
              <w:left w:val="nil"/>
              <w:bottom w:val="nil"/>
              <w:right w:val="nil"/>
            </w:tcBorders>
            <w:shd w:val="clear" w:color="auto" w:fill="auto"/>
            <w:noWrap/>
            <w:vAlign w:val="bottom"/>
            <w:hideMark/>
          </w:tcPr>
          <w:p w14:paraId="56F1C38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(0.0136)</w:t>
            </w:r>
          </w:p>
        </w:tc>
        <w:tc>
          <w:tcPr>
            <w:tcW w:w="1297" w:type="dxa"/>
            <w:tcBorders>
              <w:top w:val="nil"/>
              <w:left w:val="nil"/>
              <w:bottom w:val="nil"/>
              <w:right w:val="nil"/>
            </w:tcBorders>
            <w:shd w:val="clear" w:color="auto" w:fill="auto"/>
            <w:noWrap/>
            <w:vAlign w:val="bottom"/>
            <w:hideMark/>
          </w:tcPr>
          <w:p w14:paraId="13E6F480"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(0.0112)</w:t>
            </w:r>
          </w:p>
        </w:tc>
        <w:tc>
          <w:tcPr>
            <w:tcW w:w="1297" w:type="dxa"/>
            <w:tcBorders>
              <w:top w:val="nil"/>
              <w:left w:val="nil"/>
              <w:bottom w:val="nil"/>
              <w:right w:val="nil"/>
            </w:tcBorders>
            <w:shd w:val="clear" w:color="auto" w:fill="auto"/>
            <w:noWrap/>
            <w:vAlign w:val="bottom"/>
            <w:hideMark/>
          </w:tcPr>
          <w:p w14:paraId="1E3E9FE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(0.0136)</w:t>
            </w:r>
          </w:p>
        </w:tc>
        <w:tc>
          <w:tcPr>
            <w:tcW w:w="1297" w:type="dxa"/>
            <w:tcBorders>
              <w:top w:val="nil"/>
              <w:left w:val="nil"/>
              <w:bottom w:val="nil"/>
              <w:right w:val="nil"/>
            </w:tcBorders>
            <w:shd w:val="clear" w:color="auto" w:fill="auto"/>
            <w:noWrap/>
            <w:vAlign w:val="bottom"/>
            <w:hideMark/>
          </w:tcPr>
          <w:p w14:paraId="63892CBE"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(0.0111)</w:t>
            </w:r>
          </w:p>
        </w:tc>
        <w:tc>
          <w:tcPr>
            <w:tcW w:w="1297" w:type="dxa"/>
            <w:tcBorders>
              <w:top w:val="nil"/>
              <w:left w:val="nil"/>
              <w:bottom w:val="nil"/>
              <w:right w:val="nil"/>
            </w:tcBorders>
            <w:shd w:val="clear" w:color="auto" w:fill="auto"/>
            <w:noWrap/>
            <w:vAlign w:val="bottom"/>
            <w:hideMark/>
          </w:tcPr>
          <w:p w14:paraId="20866E56"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(0.0136)</w:t>
            </w:r>
          </w:p>
        </w:tc>
        <w:tc>
          <w:tcPr>
            <w:tcW w:w="1297" w:type="dxa"/>
            <w:tcBorders>
              <w:top w:val="nil"/>
              <w:left w:val="nil"/>
              <w:bottom w:val="nil"/>
              <w:right w:val="nil"/>
            </w:tcBorders>
            <w:shd w:val="clear" w:color="auto" w:fill="auto"/>
            <w:noWrap/>
            <w:vAlign w:val="bottom"/>
            <w:hideMark/>
          </w:tcPr>
          <w:p w14:paraId="60438FA3"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(0.0112)</w:t>
            </w:r>
          </w:p>
        </w:tc>
        <w:tc>
          <w:tcPr>
            <w:tcW w:w="1297" w:type="dxa"/>
            <w:tcBorders>
              <w:top w:val="nil"/>
              <w:left w:val="nil"/>
              <w:bottom w:val="nil"/>
              <w:right w:val="nil"/>
            </w:tcBorders>
            <w:shd w:val="clear" w:color="auto" w:fill="auto"/>
            <w:noWrap/>
            <w:vAlign w:val="bottom"/>
            <w:hideMark/>
          </w:tcPr>
          <w:p w14:paraId="1AEA5B79"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(0.0136)</w:t>
            </w:r>
          </w:p>
        </w:tc>
        <w:tc>
          <w:tcPr>
            <w:tcW w:w="1297" w:type="dxa"/>
            <w:tcBorders>
              <w:top w:val="nil"/>
              <w:left w:val="nil"/>
              <w:bottom w:val="nil"/>
              <w:right w:val="nil"/>
            </w:tcBorders>
            <w:shd w:val="clear" w:color="auto" w:fill="auto"/>
            <w:noWrap/>
            <w:vAlign w:val="bottom"/>
            <w:hideMark/>
          </w:tcPr>
          <w:p w14:paraId="2BC40314"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(0.0112)</w:t>
            </w:r>
          </w:p>
        </w:tc>
      </w:tr>
      <w:tr w:rsidR="000E49B7" w:rsidRPr="000E49B7" w14:paraId="54099210" w14:textId="77777777" w:rsidTr="000E49B7">
        <w:trPr>
          <w:trHeight w:val="330"/>
          <w:jc w:val="center"/>
        </w:trPr>
        <w:tc>
          <w:tcPr>
            <w:tcW w:w="2344" w:type="dxa"/>
            <w:tcBorders>
              <w:top w:val="nil"/>
              <w:left w:val="nil"/>
              <w:bottom w:val="nil"/>
              <w:right w:val="nil"/>
            </w:tcBorders>
            <w:shd w:val="clear" w:color="auto" w:fill="auto"/>
            <w:noWrap/>
            <w:vAlign w:val="bottom"/>
            <w:hideMark/>
          </w:tcPr>
          <w:p w14:paraId="1A99084F" w14:textId="77777777" w:rsidR="000E49B7" w:rsidRPr="000E49B7" w:rsidRDefault="000E49B7" w:rsidP="000E49B7">
            <w:pPr>
              <w:spacing w:after="0" w:line="240" w:lineRule="auto"/>
              <w:jc w:val="center"/>
              <w:rPr>
                <w:rFonts w:ascii="Times New Roman" w:eastAsia="Malgun Gothic" w:hAnsi="Times New Roman" w:cs="Times New Roman"/>
                <w:color w:val="000000"/>
              </w:rPr>
            </w:pPr>
          </w:p>
        </w:tc>
        <w:tc>
          <w:tcPr>
            <w:tcW w:w="1297" w:type="dxa"/>
            <w:tcBorders>
              <w:top w:val="nil"/>
              <w:left w:val="nil"/>
              <w:bottom w:val="nil"/>
              <w:right w:val="nil"/>
            </w:tcBorders>
            <w:shd w:val="clear" w:color="auto" w:fill="auto"/>
            <w:noWrap/>
            <w:vAlign w:val="bottom"/>
            <w:hideMark/>
          </w:tcPr>
          <w:p w14:paraId="7BE08CB2"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0828C3C"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B4AD880"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1608655"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F0E50EE"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343A36F"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4E1C586"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463643E"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r>
      <w:tr w:rsidR="000E49B7" w:rsidRPr="000E49B7" w14:paraId="49CA3116" w14:textId="77777777" w:rsidTr="000E49B7">
        <w:trPr>
          <w:trHeight w:val="345"/>
          <w:jc w:val="center"/>
        </w:trPr>
        <w:tc>
          <w:tcPr>
            <w:tcW w:w="2344" w:type="dxa"/>
            <w:tcBorders>
              <w:top w:val="nil"/>
              <w:left w:val="nil"/>
              <w:bottom w:val="double" w:sz="6" w:space="0" w:color="auto"/>
              <w:right w:val="nil"/>
            </w:tcBorders>
            <w:shd w:val="clear" w:color="auto" w:fill="auto"/>
            <w:noWrap/>
            <w:vAlign w:val="bottom"/>
            <w:hideMark/>
          </w:tcPr>
          <w:p w14:paraId="0E354D1A"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1297" w:type="dxa"/>
            <w:tcBorders>
              <w:top w:val="nil"/>
              <w:left w:val="nil"/>
              <w:bottom w:val="double" w:sz="6" w:space="0" w:color="auto"/>
              <w:right w:val="nil"/>
            </w:tcBorders>
            <w:shd w:val="clear" w:color="auto" w:fill="auto"/>
            <w:noWrap/>
            <w:vAlign w:val="bottom"/>
            <w:hideMark/>
          </w:tcPr>
          <w:p w14:paraId="2DDB9764"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311,209</w:t>
            </w:r>
          </w:p>
        </w:tc>
        <w:tc>
          <w:tcPr>
            <w:tcW w:w="1297" w:type="dxa"/>
            <w:tcBorders>
              <w:top w:val="nil"/>
              <w:left w:val="nil"/>
              <w:bottom w:val="double" w:sz="6" w:space="0" w:color="auto"/>
              <w:right w:val="nil"/>
            </w:tcBorders>
            <w:shd w:val="clear" w:color="auto" w:fill="auto"/>
            <w:noWrap/>
            <w:vAlign w:val="bottom"/>
            <w:hideMark/>
          </w:tcPr>
          <w:p w14:paraId="5C4BB2F7"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97,040</w:t>
            </w:r>
          </w:p>
        </w:tc>
        <w:tc>
          <w:tcPr>
            <w:tcW w:w="1297" w:type="dxa"/>
            <w:tcBorders>
              <w:top w:val="nil"/>
              <w:left w:val="nil"/>
              <w:bottom w:val="double" w:sz="6" w:space="0" w:color="auto"/>
              <w:right w:val="nil"/>
            </w:tcBorders>
            <w:shd w:val="clear" w:color="auto" w:fill="auto"/>
            <w:noWrap/>
            <w:vAlign w:val="bottom"/>
            <w:hideMark/>
          </w:tcPr>
          <w:p w14:paraId="5F1D8D30"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309,725</w:t>
            </w:r>
          </w:p>
        </w:tc>
        <w:tc>
          <w:tcPr>
            <w:tcW w:w="1297" w:type="dxa"/>
            <w:tcBorders>
              <w:top w:val="nil"/>
              <w:left w:val="nil"/>
              <w:bottom w:val="double" w:sz="6" w:space="0" w:color="auto"/>
              <w:right w:val="nil"/>
            </w:tcBorders>
            <w:shd w:val="clear" w:color="auto" w:fill="auto"/>
            <w:noWrap/>
            <w:vAlign w:val="bottom"/>
            <w:hideMark/>
          </w:tcPr>
          <w:p w14:paraId="0BBE5404"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96,465</w:t>
            </w:r>
          </w:p>
        </w:tc>
        <w:tc>
          <w:tcPr>
            <w:tcW w:w="1297" w:type="dxa"/>
            <w:tcBorders>
              <w:top w:val="nil"/>
              <w:left w:val="nil"/>
              <w:bottom w:val="double" w:sz="6" w:space="0" w:color="auto"/>
              <w:right w:val="nil"/>
            </w:tcBorders>
            <w:shd w:val="clear" w:color="auto" w:fill="auto"/>
            <w:noWrap/>
            <w:vAlign w:val="bottom"/>
            <w:hideMark/>
          </w:tcPr>
          <w:p w14:paraId="1FA9CE4F"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311,209</w:t>
            </w:r>
          </w:p>
        </w:tc>
        <w:tc>
          <w:tcPr>
            <w:tcW w:w="1297" w:type="dxa"/>
            <w:tcBorders>
              <w:top w:val="nil"/>
              <w:left w:val="nil"/>
              <w:bottom w:val="double" w:sz="6" w:space="0" w:color="auto"/>
              <w:right w:val="nil"/>
            </w:tcBorders>
            <w:shd w:val="clear" w:color="auto" w:fill="auto"/>
            <w:noWrap/>
            <w:vAlign w:val="bottom"/>
            <w:hideMark/>
          </w:tcPr>
          <w:p w14:paraId="505C70A9"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97,040</w:t>
            </w:r>
          </w:p>
        </w:tc>
        <w:tc>
          <w:tcPr>
            <w:tcW w:w="1297" w:type="dxa"/>
            <w:tcBorders>
              <w:top w:val="nil"/>
              <w:left w:val="nil"/>
              <w:bottom w:val="double" w:sz="6" w:space="0" w:color="auto"/>
              <w:right w:val="nil"/>
            </w:tcBorders>
            <w:shd w:val="clear" w:color="auto" w:fill="auto"/>
            <w:noWrap/>
            <w:vAlign w:val="bottom"/>
            <w:hideMark/>
          </w:tcPr>
          <w:p w14:paraId="055AD392"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311,209</w:t>
            </w:r>
          </w:p>
        </w:tc>
        <w:tc>
          <w:tcPr>
            <w:tcW w:w="1297" w:type="dxa"/>
            <w:tcBorders>
              <w:top w:val="nil"/>
              <w:left w:val="nil"/>
              <w:bottom w:val="double" w:sz="6" w:space="0" w:color="auto"/>
              <w:right w:val="nil"/>
            </w:tcBorders>
            <w:shd w:val="clear" w:color="auto" w:fill="auto"/>
            <w:noWrap/>
            <w:vAlign w:val="bottom"/>
            <w:hideMark/>
          </w:tcPr>
          <w:p w14:paraId="08734928" w14:textId="77777777" w:rsidR="000E49B7" w:rsidRPr="000E49B7" w:rsidRDefault="000E49B7" w:rsidP="000E49B7">
            <w:pPr>
              <w:spacing w:after="0" w:line="240" w:lineRule="auto"/>
              <w:jc w:val="center"/>
              <w:rPr>
                <w:rFonts w:ascii="Times New Roman" w:eastAsia="Malgun Gothic" w:hAnsi="Times New Roman" w:cs="Times New Roman"/>
                <w:color w:val="000000"/>
              </w:rPr>
            </w:pPr>
            <w:r w:rsidRPr="000E49B7">
              <w:rPr>
                <w:rFonts w:ascii="Times New Roman" w:eastAsia="Malgun Gothic" w:hAnsi="Times New Roman" w:cs="Times New Roman"/>
                <w:color w:val="000000"/>
              </w:rPr>
              <w:t>97,040</w:t>
            </w:r>
          </w:p>
        </w:tc>
      </w:tr>
      <w:tr w:rsidR="000E49B7" w:rsidRPr="000E49B7" w14:paraId="2741A305" w14:textId="77777777" w:rsidTr="000E49B7">
        <w:trPr>
          <w:trHeight w:val="345"/>
          <w:jc w:val="center"/>
        </w:trPr>
        <w:tc>
          <w:tcPr>
            <w:tcW w:w="2344" w:type="dxa"/>
            <w:tcBorders>
              <w:top w:val="nil"/>
              <w:left w:val="nil"/>
              <w:bottom w:val="nil"/>
              <w:right w:val="nil"/>
            </w:tcBorders>
            <w:shd w:val="clear" w:color="auto" w:fill="auto"/>
            <w:noWrap/>
            <w:vAlign w:val="bottom"/>
            <w:hideMark/>
          </w:tcPr>
          <w:p w14:paraId="6CCA039D"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Household Income</w:t>
            </w:r>
          </w:p>
        </w:tc>
        <w:tc>
          <w:tcPr>
            <w:tcW w:w="1297" w:type="dxa"/>
            <w:tcBorders>
              <w:top w:val="nil"/>
              <w:left w:val="nil"/>
              <w:bottom w:val="nil"/>
              <w:right w:val="nil"/>
            </w:tcBorders>
            <w:shd w:val="clear" w:color="auto" w:fill="auto"/>
            <w:noWrap/>
            <w:vAlign w:val="bottom"/>
            <w:hideMark/>
          </w:tcPr>
          <w:p w14:paraId="1CF98A1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97" w:type="dxa"/>
            <w:tcBorders>
              <w:top w:val="nil"/>
              <w:left w:val="nil"/>
              <w:bottom w:val="nil"/>
              <w:right w:val="nil"/>
            </w:tcBorders>
            <w:shd w:val="clear" w:color="auto" w:fill="auto"/>
            <w:noWrap/>
            <w:vAlign w:val="bottom"/>
            <w:hideMark/>
          </w:tcPr>
          <w:p w14:paraId="2C331EC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97" w:type="dxa"/>
            <w:tcBorders>
              <w:top w:val="nil"/>
              <w:left w:val="nil"/>
              <w:bottom w:val="nil"/>
              <w:right w:val="nil"/>
            </w:tcBorders>
            <w:shd w:val="clear" w:color="auto" w:fill="auto"/>
            <w:noWrap/>
            <w:vAlign w:val="bottom"/>
            <w:hideMark/>
          </w:tcPr>
          <w:p w14:paraId="40304EE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297" w:type="dxa"/>
            <w:tcBorders>
              <w:top w:val="nil"/>
              <w:left w:val="nil"/>
              <w:bottom w:val="nil"/>
              <w:right w:val="nil"/>
            </w:tcBorders>
            <w:shd w:val="clear" w:color="auto" w:fill="auto"/>
            <w:noWrap/>
            <w:vAlign w:val="bottom"/>
            <w:hideMark/>
          </w:tcPr>
          <w:p w14:paraId="18508808"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47F5BA4"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4EBA063"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E74A877"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C6FC768"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0A7B6C5F" w14:textId="77777777" w:rsidTr="000E49B7">
        <w:trPr>
          <w:trHeight w:val="330"/>
          <w:jc w:val="center"/>
        </w:trPr>
        <w:tc>
          <w:tcPr>
            <w:tcW w:w="2344" w:type="dxa"/>
            <w:tcBorders>
              <w:top w:val="nil"/>
              <w:left w:val="nil"/>
              <w:bottom w:val="nil"/>
              <w:right w:val="nil"/>
            </w:tcBorders>
            <w:shd w:val="clear" w:color="auto" w:fill="auto"/>
            <w:noWrap/>
            <w:vAlign w:val="bottom"/>
            <w:hideMark/>
          </w:tcPr>
          <w:p w14:paraId="1C17C02C"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Local Amenities</w:t>
            </w:r>
          </w:p>
        </w:tc>
        <w:tc>
          <w:tcPr>
            <w:tcW w:w="1297" w:type="dxa"/>
            <w:tcBorders>
              <w:top w:val="nil"/>
              <w:left w:val="nil"/>
              <w:bottom w:val="nil"/>
              <w:right w:val="nil"/>
            </w:tcBorders>
            <w:shd w:val="clear" w:color="auto" w:fill="auto"/>
            <w:noWrap/>
            <w:vAlign w:val="bottom"/>
            <w:hideMark/>
          </w:tcPr>
          <w:p w14:paraId="56342B27"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
        </w:tc>
        <w:tc>
          <w:tcPr>
            <w:tcW w:w="1297" w:type="dxa"/>
            <w:tcBorders>
              <w:top w:val="nil"/>
              <w:left w:val="nil"/>
              <w:bottom w:val="nil"/>
              <w:right w:val="nil"/>
            </w:tcBorders>
            <w:shd w:val="clear" w:color="auto" w:fill="auto"/>
            <w:noWrap/>
            <w:vAlign w:val="bottom"/>
            <w:hideMark/>
          </w:tcPr>
          <w:p w14:paraId="2A6868D6"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28AA24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97" w:type="dxa"/>
            <w:tcBorders>
              <w:top w:val="nil"/>
              <w:left w:val="nil"/>
              <w:bottom w:val="nil"/>
              <w:right w:val="nil"/>
            </w:tcBorders>
            <w:shd w:val="clear" w:color="auto" w:fill="auto"/>
            <w:noWrap/>
            <w:vAlign w:val="bottom"/>
            <w:hideMark/>
          </w:tcPr>
          <w:p w14:paraId="1B802AA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97" w:type="dxa"/>
            <w:tcBorders>
              <w:top w:val="nil"/>
              <w:left w:val="nil"/>
              <w:bottom w:val="nil"/>
              <w:right w:val="nil"/>
            </w:tcBorders>
            <w:shd w:val="clear" w:color="auto" w:fill="auto"/>
            <w:noWrap/>
            <w:vAlign w:val="bottom"/>
            <w:hideMark/>
          </w:tcPr>
          <w:p w14:paraId="1EF2012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297" w:type="dxa"/>
            <w:tcBorders>
              <w:top w:val="nil"/>
              <w:left w:val="nil"/>
              <w:bottom w:val="nil"/>
              <w:right w:val="nil"/>
            </w:tcBorders>
            <w:shd w:val="clear" w:color="auto" w:fill="auto"/>
            <w:noWrap/>
            <w:vAlign w:val="bottom"/>
            <w:hideMark/>
          </w:tcPr>
          <w:p w14:paraId="4521DDAD"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3F420067"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2163EFD"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78E06B6C" w14:textId="77777777" w:rsidTr="000E49B7">
        <w:trPr>
          <w:trHeight w:val="330"/>
          <w:jc w:val="center"/>
        </w:trPr>
        <w:tc>
          <w:tcPr>
            <w:tcW w:w="2344" w:type="dxa"/>
            <w:tcBorders>
              <w:top w:val="nil"/>
              <w:left w:val="nil"/>
              <w:bottom w:val="nil"/>
              <w:right w:val="nil"/>
            </w:tcBorders>
            <w:shd w:val="clear" w:color="auto" w:fill="auto"/>
            <w:noWrap/>
            <w:vAlign w:val="bottom"/>
            <w:hideMark/>
          </w:tcPr>
          <w:p w14:paraId="3BF920AD"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Population Density</w:t>
            </w:r>
          </w:p>
        </w:tc>
        <w:tc>
          <w:tcPr>
            <w:tcW w:w="1297" w:type="dxa"/>
            <w:tcBorders>
              <w:top w:val="nil"/>
              <w:left w:val="nil"/>
              <w:bottom w:val="nil"/>
              <w:right w:val="nil"/>
            </w:tcBorders>
            <w:shd w:val="clear" w:color="auto" w:fill="auto"/>
            <w:noWrap/>
            <w:vAlign w:val="bottom"/>
            <w:hideMark/>
          </w:tcPr>
          <w:p w14:paraId="5F674E1C"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
        </w:tc>
        <w:tc>
          <w:tcPr>
            <w:tcW w:w="1297" w:type="dxa"/>
            <w:tcBorders>
              <w:top w:val="nil"/>
              <w:left w:val="nil"/>
              <w:bottom w:val="nil"/>
              <w:right w:val="nil"/>
            </w:tcBorders>
            <w:shd w:val="clear" w:color="auto" w:fill="auto"/>
            <w:noWrap/>
            <w:vAlign w:val="bottom"/>
            <w:hideMark/>
          </w:tcPr>
          <w:p w14:paraId="192C6A08"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7EC70EC"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4B4FA88"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DFC035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97" w:type="dxa"/>
            <w:tcBorders>
              <w:top w:val="nil"/>
              <w:left w:val="nil"/>
              <w:bottom w:val="nil"/>
              <w:right w:val="nil"/>
            </w:tcBorders>
            <w:shd w:val="clear" w:color="auto" w:fill="auto"/>
            <w:noWrap/>
            <w:vAlign w:val="bottom"/>
            <w:hideMark/>
          </w:tcPr>
          <w:p w14:paraId="58198CA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97" w:type="dxa"/>
            <w:tcBorders>
              <w:top w:val="nil"/>
              <w:left w:val="nil"/>
              <w:bottom w:val="nil"/>
              <w:right w:val="nil"/>
            </w:tcBorders>
            <w:shd w:val="clear" w:color="auto" w:fill="auto"/>
            <w:noWrap/>
            <w:vAlign w:val="bottom"/>
            <w:hideMark/>
          </w:tcPr>
          <w:p w14:paraId="6734DCC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297" w:type="dxa"/>
            <w:tcBorders>
              <w:top w:val="nil"/>
              <w:left w:val="nil"/>
              <w:bottom w:val="nil"/>
              <w:right w:val="nil"/>
            </w:tcBorders>
            <w:shd w:val="clear" w:color="auto" w:fill="auto"/>
            <w:noWrap/>
            <w:vAlign w:val="bottom"/>
            <w:hideMark/>
          </w:tcPr>
          <w:p w14:paraId="72065B10"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r>
      <w:tr w:rsidR="000E49B7" w:rsidRPr="000E49B7" w14:paraId="411889DF" w14:textId="77777777" w:rsidTr="000E49B7">
        <w:trPr>
          <w:trHeight w:val="345"/>
          <w:jc w:val="center"/>
        </w:trPr>
        <w:tc>
          <w:tcPr>
            <w:tcW w:w="2344" w:type="dxa"/>
            <w:tcBorders>
              <w:top w:val="nil"/>
              <w:left w:val="nil"/>
              <w:bottom w:val="double" w:sz="6" w:space="0" w:color="auto"/>
              <w:right w:val="nil"/>
            </w:tcBorders>
            <w:shd w:val="clear" w:color="auto" w:fill="auto"/>
            <w:noWrap/>
            <w:vAlign w:val="bottom"/>
            <w:hideMark/>
          </w:tcPr>
          <w:p w14:paraId="5485FCC1"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Political Leaning</w:t>
            </w:r>
          </w:p>
        </w:tc>
        <w:tc>
          <w:tcPr>
            <w:tcW w:w="1297" w:type="dxa"/>
            <w:tcBorders>
              <w:top w:val="nil"/>
              <w:left w:val="nil"/>
              <w:bottom w:val="double" w:sz="6" w:space="0" w:color="auto"/>
              <w:right w:val="nil"/>
            </w:tcBorders>
            <w:shd w:val="clear" w:color="auto" w:fill="auto"/>
            <w:noWrap/>
            <w:vAlign w:val="bottom"/>
            <w:hideMark/>
          </w:tcPr>
          <w:p w14:paraId="333E4EF5"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297" w:type="dxa"/>
            <w:tcBorders>
              <w:top w:val="nil"/>
              <w:left w:val="nil"/>
              <w:bottom w:val="double" w:sz="6" w:space="0" w:color="auto"/>
              <w:right w:val="nil"/>
            </w:tcBorders>
            <w:shd w:val="clear" w:color="auto" w:fill="auto"/>
            <w:noWrap/>
            <w:vAlign w:val="bottom"/>
            <w:hideMark/>
          </w:tcPr>
          <w:p w14:paraId="7867D47B"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297" w:type="dxa"/>
            <w:tcBorders>
              <w:top w:val="nil"/>
              <w:left w:val="nil"/>
              <w:bottom w:val="double" w:sz="6" w:space="0" w:color="auto"/>
              <w:right w:val="nil"/>
            </w:tcBorders>
            <w:shd w:val="clear" w:color="auto" w:fill="auto"/>
            <w:noWrap/>
            <w:vAlign w:val="bottom"/>
            <w:hideMark/>
          </w:tcPr>
          <w:p w14:paraId="424F7DD3"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297" w:type="dxa"/>
            <w:tcBorders>
              <w:top w:val="nil"/>
              <w:left w:val="nil"/>
              <w:bottom w:val="double" w:sz="6" w:space="0" w:color="auto"/>
              <w:right w:val="nil"/>
            </w:tcBorders>
            <w:shd w:val="clear" w:color="auto" w:fill="auto"/>
            <w:noWrap/>
            <w:vAlign w:val="bottom"/>
            <w:hideMark/>
          </w:tcPr>
          <w:p w14:paraId="7E9AED54"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297" w:type="dxa"/>
            <w:tcBorders>
              <w:top w:val="nil"/>
              <w:left w:val="nil"/>
              <w:bottom w:val="double" w:sz="6" w:space="0" w:color="auto"/>
              <w:right w:val="nil"/>
            </w:tcBorders>
            <w:shd w:val="clear" w:color="auto" w:fill="auto"/>
            <w:noWrap/>
            <w:vAlign w:val="bottom"/>
            <w:hideMark/>
          </w:tcPr>
          <w:p w14:paraId="188F9C0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297" w:type="dxa"/>
            <w:tcBorders>
              <w:top w:val="nil"/>
              <w:left w:val="nil"/>
              <w:bottom w:val="double" w:sz="6" w:space="0" w:color="auto"/>
              <w:right w:val="nil"/>
            </w:tcBorders>
            <w:shd w:val="clear" w:color="auto" w:fill="auto"/>
            <w:noWrap/>
            <w:vAlign w:val="bottom"/>
            <w:hideMark/>
          </w:tcPr>
          <w:p w14:paraId="5860F98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297" w:type="dxa"/>
            <w:tcBorders>
              <w:top w:val="nil"/>
              <w:left w:val="nil"/>
              <w:bottom w:val="double" w:sz="6" w:space="0" w:color="auto"/>
              <w:right w:val="nil"/>
            </w:tcBorders>
            <w:shd w:val="clear" w:color="auto" w:fill="auto"/>
            <w:noWrap/>
            <w:vAlign w:val="bottom"/>
            <w:hideMark/>
          </w:tcPr>
          <w:p w14:paraId="1B51931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97" w:type="dxa"/>
            <w:tcBorders>
              <w:top w:val="nil"/>
              <w:left w:val="nil"/>
              <w:bottom w:val="double" w:sz="6" w:space="0" w:color="auto"/>
              <w:right w:val="nil"/>
            </w:tcBorders>
            <w:shd w:val="clear" w:color="auto" w:fill="auto"/>
            <w:noWrap/>
            <w:vAlign w:val="bottom"/>
            <w:hideMark/>
          </w:tcPr>
          <w:p w14:paraId="238504D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48E74898" w14:textId="77777777" w:rsidTr="000E49B7">
        <w:trPr>
          <w:trHeight w:val="1080"/>
          <w:jc w:val="center"/>
        </w:trPr>
        <w:tc>
          <w:tcPr>
            <w:tcW w:w="12720" w:type="dxa"/>
            <w:gridSpan w:val="9"/>
            <w:tcBorders>
              <w:top w:val="double" w:sz="6" w:space="0" w:color="auto"/>
              <w:left w:val="nil"/>
              <w:bottom w:val="nil"/>
              <w:right w:val="nil"/>
            </w:tcBorders>
            <w:shd w:val="clear" w:color="auto" w:fill="auto"/>
            <w:hideMark/>
          </w:tcPr>
          <w:p w14:paraId="656E05F4" w14:textId="49735861" w:rsidR="000E49B7" w:rsidRPr="000E49B7" w:rsidRDefault="000E49B7" w:rsidP="000E49B7">
            <w:pPr>
              <w:spacing w:after="0" w:line="240" w:lineRule="auto"/>
              <w:jc w:val="both"/>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t xml:space="preserve">Notes: </w:t>
            </w:r>
            <w:r w:rsidRPr="000E49B7">
              <w:rPr>
                <w:rFonts w:ascii="Times New Roman" w:eastAsia="Malgun Gothic" w:hAnsi="Times New Roman" w:cs="Times New Roman"/>
                <w:color w:val="000000"/>
                <w:sz w:val="20"/>
                <w:szCs w:val="20"/>
              </w:rPr>
              <w:t xml:space="preserve">The dependent variable is the log of annual earnings. We use Equation (1) to calculate estimates. Columns 1 and 2 </w:t>
            </w:r>
            <w:r w:rsidRPr="000E49B7">
              <w:rPr>
                <w:rFonts w:ascii="Times New Roman" w:eastAsia="Malgun Gothic" w:hAnsi="Times New Roman" w:cs="Times New Roman"/>
                <w:color w:val="000000"/>
                <w:sz w:val="20"/>
                <w:szCs w:val="20"/>
              </w:rPr>
              <w:t>present</w:t>
            </w:r>
            <w:r w:rsidRPr="000E49B7">
              <w:rPr>
                <w:rFonts w:ascii="Times New Roman" w:eastAsia="Malgun Gothic" w:hAnsi="Times New Roman" w:cs="Times New Roman"/>
                <w:color w:val="000000"/>
                <w:sz w:val="20"/>
                <w:szCs w:val="20"/>
              </w:rPr>
              <w:t xml:space="preserve"> the results controlling for household income, Columns 3 and 4 for mild temperate, dry weather, and for coastal proximity, Columns 5 and 6 for population density, and Columns 7 and 8 for political ideology. Standard errors are clustered at the state level. * </w:t>
            </w:r>
            <w:proofErr w:type="gramStart"/>
            <w:r w:rsidRPr="000E49B7">
              <w:rPr>
                <w:rFonts w:ascii="Times New Roman" w:eastAsia="Malgun Gothic" w:hAnsi="Times New Roman" w:cs="Times New Roman"/>
                <w:color w:val="000000"/>
                <w:sz w:val="20"/>
                <w:szCs w:val="20"/>
              </w:rPr>
              <w:t>denotes</w:t>
            </w:r>
            <w:proofErr w:type="gramEnd"/>
            <w:r w:rsidRPr="000E49B7">
              <w:rPr>
                <w:rFonts w:ascii="Times New Roman" w:eastAsia="Malgun Gothic" w:hAnsi="Times New Roman" w:cs="Times New Roman"/>
                <w:color w:val="000000"/>
                <w:sz w:val="20"/>
                <w:szCs w:val="20"/>
              </w:rPr>
              <w:t xml:space="preserve"> significance at the ten percent level, ** denotes at the five percent</w:t>
            </w:r>
            <w:r w:rsidRPr="000E49B7">
              <w:rPr>
                <w:rFonts w:ascii="Times New Roman" w:eastAsia="Malgun Gothic" w:hAnsi="Times New Roman" w:cs="Times New Roman"/>
                <w:color w:val="000000"/>
                <w:sz w:val="20"/>
                <w:szCs w:val="20"/>
              </w:rPr>
              <w:br/>
              <w:t>level, and *** denotes at the one percent level.</w:t>
            </w:r>
          </w:p>
        </w:tc>
      </w:tr>
    </w:tbl>
    <w:p w14:paraId="11B5E9FE" w14:textId="77777777" w:rsidR="000E49B7" w:rsidRDefault="000E49B7" w:rsidP="00010080">
      <w:pPr>
        <w:autoSpaceDE w:val="0"/>
        <w:autoSpaceDN w:val="0"/>
        <w:adjustRightInd w:val="0"/>
        <w:spacing w:after="0" w:line="240" w:lineRule="auto"/>
        <w:jc w:val="both"/>
        <w:rPr>
          <w:rFonts w:ascii="Times New Roman" w:eastAsia="CMR12" w:hAnsi="Times New Roman" w:cs="Times New Roman"/>
          <w:sz w:val="24"/>
          <w:szCs w:val="24"/>
          <w:u w:val="single"/>
          <w14:ligatures w14:val="standardContextual"/>
        </w:rPr>
        <w:sectPr w:rsidR="000E49B7" w:rsidSect="000E49B7">
          <w:pgSz w:w="16838" w:h="11906" w:orient="landscape"/>
          <w:pgMar w:top="1440" w:right="1440" w:bottom="1440" w:left="1440" w:header="851" w:footer="992" w:gutter="0"/>
          <w:cols w:space="425"/>
          <w:docGrid w:linePitch="360"/>
        </w:sectPr>
      </w:pPr>
    </w:p>
    <w:tbl>
      <w:tblPr>
        <w:tblW w:w="7760" w:type="dxa"/>
        <w:jc w:val="center"/>
        <w:tblCellMar>
          <w:left w:w="99" w:type="dxa"/>
          <w:right w:w="99" w:type="dxa"/>
        </w:tblCellMar>
        <w:tblLook w:val="04A0" w:firstRow="1" w:lastRow="0" w:firstColumn="1" w:lastColumn="0" w:noHBand="0" w:noVBand="1"/>
      </w:tblPr>
      <w:tblGrid>
        <w:gridCol w:w="3864"/>
        <w:gridCol w:w="1948"/>
        <w:gridCol w:w="1948"/>
      </w:tblGrid>
      <w:tr w:rsidR="000E49B7" w:rsidRPr="000E49B7" w14:paraId="676FA8D3" w14:textId="77777777" w:rsidTr="000E49B7">
        <w:trPr>
          <w:trHeight w:val="345"/>
          <w:jc w:val="center"/>
        </w:trPr>
        <w:tc>
          <w:tcPr>
            <w:tcW w:w="7760" w:type="dxa"/>
            <w:gridSpan w:val="3"/>
            <w:tcBorders>
              <w:top w:val="nil"/>
              <w:left w:val="nil"/>
              <w:bottom w:val="double" w:sz="6" w:space="0" w:color="auto"/>
              <w:right w:val="nil"/>
            </w:tcBorders>
            <w:shd w:val="clear" w:color="auto" w:fill="auto"/>
            <w:noWrap/>
            <w:vAlign w:val="bottom"/>
            <w:hideMark/>
          </w:tcPr>
          <w:p w14:paraId="4021B027"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lastRenderedPageBreak/>
              <w:t>Table 5: Using Non-Teachers as Comparison Group</w:t>
            </w:r>
          </w:p>
        </w:tc>
      </w:tr>
      <w:tr w:rsidR="000E49B7" w:rsidRPr="000E49B7" w14:paraId="5DB37817" w14:textId="77777777" w:rsidTr="000E49B7">
        <w:trPr>
          <w:trHeight w:val="345"/>
          <w:jc w:val="center"/>
        </w:trPr>
        <w:tc>
          <w:tcPr>
            <w:tcW w:w="3864" w:type="dxa"/>
            <w:tcBorders>
              <w:top w:val="nil"/>
              <w:left w:val="nil"/>
              <w:bottom w:val="nil"/>
              <w:right w:val="nil"/>
            </w:tcBorders>
            <w:shd w:val="clear" w:color="auto" w:fill="auto"/>
            <w:noWrap/>
            <w:vAlign w:val="bottom"/>
            <w:hideMark/>
          </w:tcPr>
          <w:p w14:paraId="41AC8CA1"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p>
        </w:tc>
        <w:tc>
          <w:tcPr>
            <w:tcW w:w="3896" w:type="dxa"/>
            <w:gridSpan w:val="2"/>
            <w:tcBorders>
              <w:top w:val="double" w:sz="6" w:space="0" w:color="auto"/>
              <w:left w:val="nil"/>
              <w:bottom w:val="nil"/>
              <w:right w:val="nil"/>
            </w:tcBorders>
            <w:shd w:val="clear" w:color="auto" w:fill="auto"/>
            <w:noWrap/>
            <w:vAlign w:val="bottom"/>
            <w:hideMark/>
          </w:tcPr>
          <w:p w14:paraId="139BDE7F" w14:textId="42FE1450"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Dep. Variable: ln</w:t>
            </w:r>
            <w:r>
              <w:rPr>
                <w:rFonts w:ascii="Times New Roman" w:eastAsia="Malgun Gothic" w:hAnsi="Times New Roman" w:cs="Times New Roman"/>
                <w:color w:val="000000"/>
                <w:sz w:val="24"/>
                <w:szCs w:val="24"/>
              </w:rPr>
              <w:t xml:space="preserve"> </w:t>
            </w:r>
            <w:r w:rsidRPr="000E49B7">
              <w:rPr>
                <w:rFonts w:ascii="Times New Roman" w:eastAsia="Malgun Gothic" w:hAnsi="Times New Roman" w:cs="Times New Roman"/>
                <w:color w:val="000000"/>
                <w:sz w:val="24"/>
                <w:szCs w:val="24"/>
              </w:rPr>
              <w:t>(Annual Earnings)</w:t>
            </w:r>
          </w:p>
        </w:tc>
      </w:tr>
      <w:tr w:rsidR="000E49B7" w:rsidRPr="000E49B7" w14:paraId="4AA98D92"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4912EEE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948" w:type="dxa"/>
            <w:tcBorders>
              <w:top w:val="nil"/>
              <w:left w:val="nil"/>
              <w:bottom w:val="nil"/>
              <w:right w:val="nil"/>
            </w:tcBorders>
            <w:shd w:val="clear" w:color="auto" w:fill="auto"/>
            <w:noWrap/>
            <w:vAlign w:val="bottom"/>
            <w:hideMark/>
          </w:tcPr>
          <w:p w14:paraId="7664315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Women</w:t>
            </w:r>
          </w:p>
        </w:tc>
        <w:tc>
          <w:tcPr>
            <w:tcW w:w="1948" w:type="dxa"/>
            <w:tcBorders>
              <w:top w:val="nil"/>
              <w:left w:val="nil"/>
              <w:bottom w:val="nil"/>
              <w:right w:val="nil"/>
            </w:tcBorders>
            <w:shd w:val="clear" w:color="auto" w:fill="auto"/>
            <w:noWrap/>
            <w:vAlign w:val="bottom"/>
            <w:hideMark/>
          </w:tcPr>
          <w:p w14:paraId="7CC5C87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Men</w:t>
            </w:r>
          </w:p>
        </w:tc>
      </w:tr>
      <w:tr w:rsidR="000E49B7" w:rsidRPr="000E49B7" w14:paraId="38F63BB7" w14:textId="77777777" w:rsidTr="000E49B7">
        <w:trPr>
          <w:trHeight w:val="330"/>
          <w:jc w:val="center"/>
        </w:trPr>
        <w:tc>
          <w:tcPr>
            <w:tcW w:w="3864" w:type="dxa"/>
            <w:tcBorders>
              <w:top w:val="nil"/>
              <w:left w:val="nil"/>
              <w:bottom w:val="single" w:sz="4" w:space="0" w:color="auto"/>
              <w:right w:val="nil"/>
            </w:tcBorders>
            <w:shd w:val="clear" w:color="auto" w:fill="auto"/>
            <w:noWrap/>
            <w:vAlign w:val="bottom"/>
            <w:hideMark/>
          </w:tcPr>
          <w:p w14:paraId="65A9075C"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948" w:type="dxa"/>
            <w:tcBorders>
              <w:top w:val="nil"/>
              <w:left w:val="nil"/>
              <w:bottom w:val="single" w:sz="4" w:space="0" w:color="auto"/>
              <w:right w:val="nil"/>
            </w:tcBorders>
            <w:shd w:val="clear" w:color="auto" w:fill="auto"/>
            <w:noWrap/>
            <w:vAlign w:val="bottom"/>
            <w:hideMark/>
          </w:tcPr>
          <w:p w14:paraId="208C2EC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w:t>
            </w:r>
          </w:p>
        </w:tc>
        <w:tc>
          <w:tcPr>
            <w:tcW w:w="1948" w:type="dxa"/>
            <w:tcBorders>
              <w:top w:val="nil"/>
              <w:left w:val="nil"/>
              <w:bottom w:val="single" w:sz="4" w:space="0" w:color="auto"/>
              <w:right w:val="nil"/>
            </w:tcBorders>
            <w:shd w:val="clear" w:color="auto" w:fill="auto"/>
            <w:noWrap/>
            <w:vAlign w:val="bottom"/>
            <w:hideMark/>
          </w:tcPr>
          <w:p w14:paraId="3CEBB11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w:t>
            </w:r>
          </w:p>
        </w:tc>
      </w:tr>
      <w:tr w:rsidR="000E49B7" w:rsidRPr="000E49B7" w14:paraId="097A3DF3"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595DAC54"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Teacher*CB*STEM</w:t>
            </w:r>
          </w:p>
        </w:tc>
        <w:tc>
          <w:tcPr>
            <w:tcW w:w="1948" w:type="dxa"/>
            <w:tcBorders>
              <w:top w:val="nil"/>
              <w:left w:val="nil"/>
              <w:bottom w:val="nil"/>
              <w:right w:val="nil"/>
            </w:tcBorders>
            <w:shd w:val="clear" w:color="auto" w:fill="auto"/>
            <w:noWrap/>
            <w:vAlign w:val="bottom"/>
            <w:hideMark/>
          </w:tcPr>
          <w:p w14:paraId="79A8EBF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0.082***</w:t>
            </w:r>
          </w:p>
        </w:tc>
        <w:tc>
          <w:tcPr>
            <w:tcW w:w="1948" w:type="dxa"/>
            <w:tcBorders>
              <w:top w:val="nil"/>
              <w:left w:val="nil"/>
              <w:bottom w:val="nil"/>
              <w:right w:val="nil"/>
            </w:tcBorders>
            <w:shd w:val="clear" w:color="auto" w:fill="auto"/>
            <w:noWrap/>
            <w:vAlign w:val="bottom"/>
            <w:hideMark/>
          </w:tcPr>
          <w:p w14:paraId="6071D16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0.038*</w:t>
            </w:r>
          </w:p>
        </w:tc>
      </w:tr>
      <w:tr w:rsidR="000E49B7" w:rsidRPr="000E49B7" w14:paraId="3BDC23E1"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31A7403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948" w:type="dxa"/>
            <w:tcBorders>
              <w:top w:val="nil"/>
              <w:left w:val="nil"/>
              <w:bottom w:val="nil"/>
              <w:right w:val="nil"/>
            </w:tcBorders>
            <w:shd w:val="clear" w:color="auto" w:fill="auto"/>
            <w:noWrap/>
            <w:vAlign w:val="bottom"/>
            <w:hideMark/>
          </w:tcPr>
          <w:p w14:paraId="7858170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(0.027)</w:t>
            </w:r>
          </w:p>
        </w:tc>
        <w:tc>
          <w:tcPr>
            <w:tcW w:w="1948" w:type="dxa"/>
            <w:tcBorders>
              <w:top w:val="nil"/>
              <w:left w:val="nil"/>
              <w:bottom w:val="nil"/>
              <w:right w:val="nil"/>
            </w:tcBorders>
            <w:shd w:val="clear" w:color="auto" w:fill="auto"/>
            <w:noWrap/>
            <w:vAlign w:val="bottom"/>
            <w:hideMark/>
          </w:tcPr>
          <w:p w14:paraId="66789AE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(0.021)</w:t>
            </w:r>
          </w:p>
        </w:tc>
      </w:tr>
      <w:tr w:rsidR="000E49B7" w:rsidRPr="000E49B7" w14:paraId="5FEC74AA"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075947E8"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Teacher*CB</w:t>
            </w:r>
          </w:p>
        </w:tc>
        <w:tc>
          <w:tcPr>
            <w:tcW w:w="1948" w:type="dxa"/>
            <w:tcBorders>
              <w:top w:val="nil"/>
              <w:left w:val="nil"/>
              <w:bottom w:val="nil"/>
              <w:right w:val="nil"/>
            </w:tcBorders>
            <w:shd w:val="clear" w:color="auto" w:fill="auto"/>
            <w:noWrap/>
            <w:vAlign w:val="bottom"/>
            <w:hideMark/>
          </w:tcPr>
          <w:p w14:paraId="0728489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0.034</w:t>
            </w:r>
          </w:p>
        </w:tc>
        <w:tc>
          <w:tcPr>
            <w:tcW w:w="1948" w:type="dxa"/>
            <w:tcBorders>
              <w:top w:val="nil"/>
              <w:left w:val="nil"/>
              <w:bottom w:val="nil"/>
              <w:right w:val="nil"/>
            </w:tcBorders>
            <w:shd w:val="clear" w:color="auto" w:fill="auto"/>
            <w:noWrap/>
            <w:vAlign w:val="bottom"/>
            <w:hideMark/>
          </w:tcPr>
          <w:p w14:paraId="2F76141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0.023</w:t>
            </w:r>
          </w:p>
        </w:tc>
      </w:tr>
      <w:tr w:rsidR="000E49B7" w:rsidRPr="000E49B7" w14:paraId="5C1BB93D"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0D44893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948" w:type="dxa"/>
            <w:tcBorders>
              <w:top w:val="nil"/>
              <w:left w:val="nil"/>
              <w:bottom w:val="nil"/>
              <w:right w:val="nil"/>
            </w:tcBorders>
            <w:shd w:val="clear" w:color="auto" w:fill="auto"/>
            <w:noWrap/>
            <w:vAlign w:val="bottom"/>
            <w:hideMark/>
          </w:tcPr>
          <w:p w14:paraId="19507BD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(0.023)</w:t>
            </w:r>
          </w:p>
        </w:tc>
        <w:tc>
          <w:tcPr>
            <w:tcW w:w="1948" w:type="dxa"/>
            <w:tcBorders>
              <w:top w:val="nil"/>
              <w:left w:val="nil"/>
              <w:bottom w:val="nil"/>
              <w:right w:val="nil"/>
            </w:tcBorders>
            <w:shd w:val="clear" w:color="auto" w:fill="auto"/>
            <w:noWrap/>
            <w:vAlign w:val="bottom"/>
            <w:hideMark/>
          </w:tcPr>
          <w:p w14:paraId="3FAC9D4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(0.028)</w:t>
            </w:r>
          </w:p>
        </w:tc>
      </w:tr>
      <w:tr w:rsidR="000E49B7" w:rsidRPr="000E49B7" w14:paraId="4659F0E3"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2E9E3553"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Teacher*STEM</w:t>
            </w:r>
          </w:p>
        </w:tc>
        <w:tc>
          <w:tcPr>
            <w:tcW w:w="1948" w:type="dxa"/>
            <w:tcBorders>
              <w:top w:val="nil"/>
              <w:left w:val="nil"/>
              <w:bottom w:val="nil"/>
              <w:right w:val="nil"/>
            </w:tcBorders>
            <w:shd w:val="clear" w:color="auto" w:fill="auto"/>
            <w:noWrap/>
            <w:vAlign w:val="bottom"/>
            <w:hideMark/>
          </w:tcPr>
          <w:p w14:paraId="067074A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-0.329***</w:t>
            </w:r>
          </w:p>
        </w:tc>
        <w:tc>
          <w:tcPr>
            <w:tcW w:w="1948" w:type="dxa"/>
            <w:tcBorders>
              <w:top w:val="nil"/>
              <w:left w:val="nil"/>
              <w:bottom w:val="nil"/>
              <w:right w:val="nil"/>
            </w:tcBorders>
            <w:shd w:val="clear" w:color="auto" w:fill="auto"/>
            <w:noWrap/>
            <w:vAlign w:val="bottom"/>
            <w:hideMark/>
          </w:tcPr>
          <w:p w14:paraId="23386A7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-0.243***</w:t>
            </w:r>
          </w:p>
        </w:tc>
      </w:tr>
      <w:tr w:rsidR="000E49B7" w:rsidRPr="000E49B7" w14:paraId="158D4D06"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037B062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948" w:type="dxa"/>
            <w:tcBorders>
              <w:top w:val="nil"/>
              <w:left w:val="nil"/>
              <w:bottom w:val="nil"/>
              <w:right w:val="nil"/>
            </w:tcBorders>
            <w:shd w:val="clear" w:color="auto" w:fill="auto"/>
            <w:noWrap/>
            <w:vAlign w:val="bottom"/>
            <w:hideMark/>
          </w:tcPr>
          <w:p w14:paraId="21A7461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(0.018)</w:t>
            </w:r>
          </w:p>
        </w:tc>
        <w:tc>
          <w:tcPr>
            <w:tcW w:w="1948" w:type="dxa"/>
            <w:tcBorders>
              <w:top w:val="nil"/>
              <w:left w:val="nil"/>
              <w:bottom w:val="nil"/>
              <w:right w:val="nil"/>
            </w:tcBorders>
            <w:shd w:val="clear" w:color="auto" w:fill="auto"/>
            <w:noWrap/>
            <w:vAlign w:val="bottom"/>
            <w:hideMark/>
          </w:tcPr>
          <w:p w14:paraId="2939480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(0.009)</w:t>
            </w:r>
          </w:p>
        </w:tc>
      </w:tr>
      <w:tr w:rsidR="000E49B7" w:rsidRPr="000E49B7" w14:paraId="4BC5CB30"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68D0AB28"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STEM*CB</w:t>
            </w:r>
          </w:p>
        </w:tc>
        <w:tc>
          <w:tcPr>
            <w:tcW w:w="1948" w:type="dxa"/>
            <w:tcBorders>
              <w:top w:val="nil"/>
              <w:left w:val="nil"/>
              <w:bottom w:val="nil"/>
              <w:right w:val="nil"/>
            </w:tcBorders>
            <w:shd w:val="clear" w:color="auto" w:fill="auto"/>
            <w:noWrap/>
            <w:vAlign w:val="bottom"/>
            <w:hideMark/>
          </w:tcPr>
          <w:p w14:paraId="2842FE6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-0.023*</w:t>
            </w:r>
          </w:p>
        </w:tc>
        <w:tc>
          <w:tcPr>
            <w:tcW w:w="1948" w:type="dxa"/>
            <w:tcBorders>
              <w:top w:val="nil"/>
              <w:left w:val="nil"/>
              <w:bottom w:val="nil"/>
              <w:right w:val="nil"/>
            </w:tcBorders>
            <w:shd w:val="clear" w:color="auto" w:fill="auto"/>
            <w:noWrap/>
            <w:vAlign w:val="bottom"/>
            <w:hideMark/>
          </w:tcPr>
          <w:p w14:paraId="2D26FD0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-0.019</w:t>
            </w:r>
          </w:p>
        </w:tc>
      </w:tr>
      <w:tr w:rsidR="000E49B7" w:rsidRPr="000E49B7" w14:paraId="6D56CEE9"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7E10BB8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948" w:type="dxa"/>
            <w:tcBorders>
              <w:top w:val="nil"/>
              <w:left w:val="nil"/>
              <w:bottom w:val="nil"/>
              <w:right w:val="nil"/>
            </w:tcBorders>
            <w:shd w:val="clear" w:color="auto" w:fill="auto"/>
            <w:noWrap/>
            <w:vAlign w:val="bottom"/>
            <w:hideMark/>
          </w:tcPr>
          <w:p w14:paraId="62F690F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(0.013)</w:t>
            </w:r>
          </w:p>
        </w:tc>
        <w:tc>
          <w:tcPr>
            <w:tcW w:w="1948" w:type="dxa"/>
            <w:tcBorders>
              <w:top w:val="nil"/>
              <w:left w:val="nil"/>
              <w:bottom w:val="nil"/>
              <w:right w:val="nil"/>
            </w:tcBorders>
            <w:shd w:val="clear" w:color="auto" w:fill="auto"/>
            <w:noWrap/>
            <w:vAlign w:val="bottom"/>
            <w:hideMark/>
          </w:tcPr>
          <w:p w14:paraId="28234D3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(0.016)</w:t>
            </w:r>
          </w:p>
        </w:tc>
      </w:tr>
      <w:tr w:rsidR="000E49B7" w:rsidRPr="000E49B7" w14:paraId="55D9492D"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364CB1DD"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Teacher</w:t>
            </w:r>
          </w:p>
        </w:tc>
        <w:tc>
          <w:tcPr>
            <w:tcW w:w="1948" w:type="dxa"/>
            <w:tcBorders>
              <w:top w:val="nil"/>
              <w:left w:val="nil"/>
              <w:bottom w:val="nil"/>
              <w:right w:val="nil"/>
            </w:tcBorders>
            <w:shd w:val="clear" w:color="auto" w:fill="auto"/>
            <w:noWrap/>
            <w:vAlign w:val="bottom"/>
            <w:hideMark/>
          </w:tcPr>
          <w:p w14:paraId="3750307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-0.105***</w:t>
            </w:r>
          </w:p>
        </w:tc>
        <w:tc>
          <w:tcPr>
            <w:tcW w:w="1948" w:type="dxa"/>
            <w:tcBorders>
              <w:top w:val="nil"/>
              <w:left w:val="nil"/>
              <w:bottom w:val="nil"/>
              <w:right w:val="nil"/>
            </w:tcBorders>
            <w:shd w:val="clear" w:color="auto" w:fill="auto"/>
            <w:noWrap/>
            <w:vAlign w:val="bottom"/>
            <w:hideMark/>
          </w:tcPr>
          <w:p w14:paraId="1A5F51F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-0.342***</w:t>
            </w:r>
          </w:p>
        </w:tc>
      </w:tr>
      <w:tr w:rsidR="000E49B7" w:rsidRPr="000E49B7" w14:paraId="02149DBF"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0BD91D4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948" w:type="dxa"/>
            <w:tcBorders>
              <w:top w:val="nil"/>
              <w:left w:val="nil"/>
              <w:bottom w:val="nil"/>
              <w:right w:val="nil"/>
            </w:tcBorders>
            <w:shd w:val="clear" w:color="auto" w:fill="auto"/>
            <w:noWrap/>
            <w:vAlign w:val="bottom"/>
            <w:hideMark/>
          </w:tcPr>
          <w:p w14:paraId="23446BF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(0.017)</w:t>
            </w:r>
          </w:p>
        </w:tc>
        <w:tc>
          <w:tcPr>
            <w:tcW w:w="1948" w:type="dxa"/>
            <w:tcBorders>
              <w:top w:val="nil"/>
              <w:left w:val="nil"/>
              <w:bottom w:val="nil"/>
              <w:right w:val="nil"/>
            </w:tcBorders>
            <w:shd w:val="clear" w:color="auto" w:fill="auto"/>
            <w:noWrap/>
            <w:vAlign w:val="bottom"/>
            <w:hideMark/>
          </w:tcPr>
          <w:p w14:paraId="12EF517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(0.025)</w:t>
            </w:r>
          </w:p>
        </w:tc>
      </w:tr>
      <w:tr w:rsidR="000E49B7" w:rsidRPr="000E49B7" w14:paraId="69438790"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6BF44A41"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
        </w:tc>
        <w:tc>
          <w:tcPr>
            <w:tcW w:w="1948" w:type="dxa"/>
            <w:tcBorders>
              <w:top w:val="nil"/>
              <w:left w:val="nil"/>
              <w:bottom w:val="nil"/>
              <w:right w:val="nil"/>
            </w:tcBorders>
            <w:shd w:val="clear" w:color="auto" w:fill="auto"/>
            <w:noWrap/>
            <w:vAlign w:val="bottom"/>
            <w:hideMark/>
          </w:tcPr>
          <w:p w14:paraId="15D17D5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0.213***</w:t>
            </w:r>
          </w:p>
        </w:tc>
        <w:tc>
          <w:tcPr>
            <w:tcW w:w="1948" w:type="dxa"/>
            <w:tcBorders>
              <w:top w:val="nil"/>
              <w:left w:val="nil"/>
              <w:bottom w:val="nil"/>
              <w:right w:val="nil"/>
            </w:tcBorders>
            <w:shd w:val="clear" w:color="auto" w:fill="auto"/>
            <w:noWrap/>
            <w:vAlign w:val="bottom"/>
            <w:hideMark/>
          </w:tcPr>
          <w:p w14:paraId="20C2B91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0.200***</w:t>
            </w:r>
          </w:p>
        </w:tc>
      </w:tr>
      <w:tr w:rsidR="000E49B7" w:rsidRPr="000E49B7" w14:paraId="5C1368E2"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5EB481D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948" w:type="dxa"/>
            <w:tcBorders>
              <w:top w:val="nil"/>
              <w:left w:val="nil"/>
              <w:bottom w:val="nil"/>
              <w:right w:val="nil"/>
            </w:tcBorders>
            <w:shd w:val="clear" w:color="auto" w:fill="auto"/>
            <w:noWrap/>
            <w:vAlign w:val="bottom"/>
            <w:hideMark/>
          </w:tcPr>
          <w:p w14:paraId="4DE60FD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(0.008)</w:t>
            </w:r>
          </w:p>
        </w:tc>
        <w:tc>
          <w:tcPr>
            <w:tcW w:w="1948" w:type="dxa"/>
            <w:tcBorders>
              <w:top w:val="nil"/>
              <w:left w:val="nil"/>
              <w:bottom w:val="nil"/>
              <w:right w:val="nil"/>
            </w:tcBorders>
            <w:shd w:val="clear" w:color="auto" w:fill="auto"/>
            <w:noWrap/>
            <w:vAlign w:val="bottom"/>
            <w:hideMark/>
          </w:tcPr>
          <w:p w14:paraId="0DFA72D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(0.009)</w:t>
            </w:r>
          </w:p>
        </w:tc>
      </w:tr>
      <w:tr w:rsidR="000E49B7" w:rsidRPr="000E49B7" w14:paraId="25C1416E"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6FAB7F5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948" w:type="dxa"/>
            <w:tcBorders>
              <w:top w:val="nil"/>
              <w:left w:val="nil"/>
              <w:bottom w:val="nil"/>
              <w:right w:val="nil"/>
            </w:tcBorders>
            <w:shd w:val="clear" w:color="auto" w:fill="auto"/>
            <w:noWrap/>
            <w:vAlign w:val="bottom"/>
            <w:hideMark/>
          </w:tcPr>
          <w:p w14:paraId="21411342"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948" w:type="dxa"/>
            <w:tcBorders>
              <w:top w:val="nil"/>
              <w:left w:val="nil"/>
              <w:bottom w:val="nil"/>
              <w:right w:val="nil"/>
            </w:tcBorders>
            <w:shd w:val="clear" w:color="auto" w:fill="auto"/>
            <w:noWrap/>
            <w:vAlign w:val="bottom"/>
            <w:hideMark/>
          </w:tcPr>
          <w:p w14:paraId="588C9F1F"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r>
      <w:tr w:rsidR="000E49B7" w:rsidRPr="000E49B7" w14:paraId="394C409B" w14:textId="77777777" w:rsidTr="000E49B7">
        <w:trPr>
          <w:trHeight w:val="345"/>
          <w:jc w:val="center"/>
        </w:trPr>
        <w:tc>
          <w:tcPr>
            <w:tcW w:w="3864" w:type="dxa"/>
            <w:tcBorders>
              <w:top w:val="nil"/>
              <w:left w:val="nil"/>
              <w:bottom w:val="double" w:sz="6" w:space="0" w:color="auto"/>
              <w:right w:val="nil"/>
            </w:tcBorders>
            <w:shd w:val="clear" w:color="auto" w:fill="auto"/>
            <w:noWrap/>
            <w:vAlign w:val="bottom"/>
            <w:hideMark/>
          </w:tcPr>
          <w:p w14:paraId="01F7D249"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1948" w:type="dxa"/>
            <w:tcBorders>
              <w:top w:val="nil"/>
              <w:left w:val="nil"/>
              <w:bottom w:val="double" w:sz="6" w:space="0" w:color="auto"/>
              <w:right w:val="nil"/>
            </w:tcBorders>
            <w:shd w:val="clear" w:color="auto" w:fill="auto"/>
            <w:noWrap/>
            <w:vAlign w:val="bottom"/>
            <w:hideMark/>
          </w:tcPr>
          <w:p w14:paraId="1B4AEC4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1,594,286</w:t>
            </w:r>
          </w:p>
        </w:tc>
        <w:tc>
          <w:tcPr>
            <w:tcW w:w="1948" w:type="dxa"/>
            <w:tcBorders>
              <w:top w:val="nil"/>
              <w:left w:val="nil"/>
              <w:bottom w:val="double" w:sz="6" w:space="0" w:color="auto"/>
              <w:right w:val="nil"/>
            </w:tcBorders>
            <w:shd w:val="clear" w:color="auto" w:fill="auto"/>
            <w:noWrap/>
            <w:vAlign w:val="bottom"/>
            <w:hideMark/>
          </w:tcPr>
          <w:p w14:paraId="2457044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1,377,795</w:t>
            </w:r>
          </w:p>
        </w:tc>
      </w:tr>
      <w:tr w:rsidR="000E49B7" w:rsidRPr="000E49B7" w14:paraId="750378E0" w14:textId="77777777" w:rsidTr="000E49B7">
        <w:trPr>
          <w:trHeight w:val="345"/>
          <w:jc w:val="center"/>
        </w:trPr>
        <w:tc>
          <w:tcPr>
            <w:tcW w:w="3864" w:type="dxa"/>
            <w:tcBorders>
              <w:top w:val="nil"/>
              <w:left w:val="nil"/>
              <w:bottom w:val="nil"/>
              <w:right w:val="nil"/>
            </w:tcBorders>
            <w:shd w:val="clear" w:color="auto" w:fill="auto"/>
            <w:noWrap/>
            <w:vAlign w:val="bottom"/>
            <w:hideMark/>
          </w:tcPr>
          <w:p w14:paraId="3D575D37"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Indiv</w:t>
            </w:r>
            <w:proofErr w:type="spellEnd"/>
            <w:r w:rsidRPr="000E49B7">
              <w:rPr>
                <w:rFonts w:ascii="Times New Roman" w:eastAsia="Malgun Gothic" w:hAnsi="Times New Roman" w:cs="Times New Roman"/>
                <w:color w:val="000000"/>
                <w:sz w:val="24"/>
                <w:szCs w:val="24"/>
              </w:rPr>
              <w:t>. Controls</w:t>
            </w:r>
          </w:p>
        </w:tc>
        <w:tc>
          <w:tcPr>
            <w:tcW w:w="1948" w:type="dxa"/>
            <w:tcBorders>
              <w:top w:val="nil"/>
              <w:left w:val="nil"/>
              <w:bottom w:val="nil"/>
              <w:right w:val="nil"/>
            </w:tcBorders>
            <w:shd w:val="clear" w:color="auto" w:fill="auto"/>
            <w:noWrap/>
            <w:vAlign w:val="bottom"/>
            <w:hideMark/>
          </w:tcPr>
          <w:p w14:paraId="5B9FD7D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948" w:type="dxa"/>
            <w:tcBorders>
              <w:top w:val="nil"/>
              <w:left w:val="nil"/>
              <w:bottom w:val="nil"/>
              <w:right w:val="nil"/>
            </w:tcBorders>
            <w:shd w:val="clear" w:color="auto" w:fill="auto"/>
            <w:noWrap/>
            <w:vAlign w:val="bottom"/>
            <w:hideMark/>
          </w:tcPr>
          <w:p w14:paraId="1E27B97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787A8A37" w14:textId="77777777" w:rsidTr="000E49B7">
        <w:trPr>
          <w:trHeight w:val="330"/>
          <w:jc w:val="center"/>
        </w:trPr>
        <w:tc>
          <w:tcPr>
            <w:tcW w:w="3864" w:type="dxa"/>
            <w:tcBorders>
              <w:top w:val="nil"/>
              <w:left w:val="nil"/>
              <w:bottom w:val="nil"/>
              <w:right w:val="nil"/>
            </w:tcBorders>
            <w:shd w:val="clear" w:color="auto" w:fill="auto"/>
            <w:noWrap/>
            <w:vAlign w:val="bottom"/>
            <w:hideMark/>
          </w:tcPr>
          <w:p w14:paraId="2141175F"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CZ×Year</w:t>
            </w:r>
            <w:proofErr w:type="spellEnd"/>
            <w:r w:rsidRPr="000E49B7">
              <w:rPr>
                <w:rFonts w:ascii="Times New Roman" w:eastAsia="Malgun Gothic" w:hAnsi="Times New Roman" w:cs="Times New Roman"/>
                <w:color w:val="000000"/>
                <w:sz w:val="24"/>
                <w:szCs w:val="24"/>
              </w:rPr>
              <w:t xml:space="preserve"> FE</w:t>
            </w:r>
          </w:p>
        </w:tc>
        <w:tc>
          <w:tcPr>
            <w:tcW w:w="1948" w:type="dxa"/>
            <w:tcBorders>
              <w:top w:val="nil"/>
              <w:left w:val="nil"/>
              <w:bottom w:val="nil"/>
              <w:right w:val="nil"/>
            </w:tcBorders>
            <w:shd w:val="clear" w:color="auto" w:fill="auto"/>
            <w:noWrap/>
            <w:vAlign w:val="bottom"/>
            <w:hideMark/>
          </w:tcPr>
          <w:p w14:paraId="592A63D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948" w:type="dxa"/>
            <w:tcBorders>
              <w:top w:val="nil"/>
              <w:left w:val="nil"/>
              <w:bottom w:val="nil"/>
              <w:right w:val="nil"/>
            </w:tcBorders>
            <w:shd w:val="clear" w:color="auto" w:fill="auto"/>
            <w:noWrap/>
            <w:vAlign w:val="bottom"/>
            <w:hideMark/>
          </w:tcPr>
          <w:p w14:paraId="4A45F2A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6E3C1E3B" w14:textId="77777777" w:rsidTr="000E49B7">
        <w:trPr>
          <w:trHeight w:val="345"/>
          <w:jc w:val="center"/>
        </w:trPr>
        <w:tc>
          <w:tcPr>
            <w:tcW w:w="3864" w:type="dxa"/>
            <w:tcBorders>
              <w:top w:val="nil"/>
              <w:left w:val="nil"/>
              <w:bottom w:val="double" w:sz="6" w:space="0" w:color="auto"/>
              <w:right w:val="nil"/>
            </w:tcBorders>
            <w:shd w:val="clear" w:color="auto" w:fill="auto"/>
            <w:noWrap/>
            <w:vAlign w:val="bottom"/>
            <w:hideMark/>
          </w:tcPr>
          <w:p w14:paraId="10155DDD"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State FE</w:t>
            </w:r>
          </w:p>
        </w:tc>
        <w:tc>
          <w:tcPr>
            <w:tcW w:w="1948" w:type="dxa"/>
            <w:tcBorders>
              <w:top w:val="nil"/>
              <w:left w:val="nil"/>
              <w:bottom w:val="double" w:sz="6" w:space="0" w:color="auto"/>
              <w:right w:val="nil"/>
            </w:tcBorders>
            <w:shd w:val="clear" w:color="auto" w:fill="auto"/>
            <w:noWrap/>
            <w:vAlign w:val="bottom"/>
            <w:hideMark/>
          </w:tcPr>
          <w:p w14:paraId="1EBEA0C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948" w:type="dxa"/>
            <w:tcBorders>
              <w:top w:val="nil"/>
              <w:left w:val="nil"/>
              <w:bottom w:val="double" w:sz="6" w:space="0" w:color="auto"/>
              <w:right w:val="nil"/>
            </w:tcBorders>
            <w:shd w:val="clear" w:color="auto" w:fill="auto"/>
            <w:noWrap/>
            <w:vAlign w:val="bottom"/>
            <w:hideMark/>
          </w:tcPr>
          <w:p w14:paraId="1229F22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7E586A6A" w14:textId="77777777" w:rsidTr="000E49B7">
        <w:trPr>
          <w:trHeight w:val="870"/>
          <w:jc w:val="center"/>
        </w:trPr>
        <w:tc>
          <w:tcPr>
            <w:tcW w:w="7760" w:type="dxa"/>
            <w:gridSpan w:val="3"/>
            <w:tcBorders>
              <w:top w:val="double" w:sz="6" w:space="0" w:color="auto"/>
              <w:left w:val="nil"/>
              <w:bottom w:val="nil"/>
              <w:right w:val="nil"/>
            </w:tcBorders>
            <w:shd w:val="clear" w:color="auto" w:fill="auto"/>
            <w:hideMark/>
          </w:tcPr>
          <w:p w14:paraId="1360A9A2" w14:textId="77777777" w:rsidR="000E49B7" w:rsidRPr="000E49B7" w:rsidRDefault="000E49B7" w:rsidP="000E49B7">
            <w:pPr>
              <w:spacing w:after="0" w:line="240" w:lineRule="auto"/>
              <w:jc w:val="both"/>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t xml:space="preserve">Notes: </w:t>
            </w:r>
            <w:r w:rsidRPr="000E49B7">
              <w:rPr>
                <w:rFonts w:ascii="Times New Roman" w:eastAsia="Malgun Gothic" w:hAnsi="Times New Roman" w:cs="Times New Roman"/>
                <w:color w:val="000000"/>
                <w:sz w:val="20"/>
                <w:szCs w:val="20"/>
              </w:rPr>
              <w:t xml:space="preserve">The dependent variable is the log of annual earnings. We use the specification based on Equation (4). Standard errors are clustered at the state level. * </w:t>
            </w:r>
            <w:proofErr w:type="gramStart"/>
            <w:r w:rsidRPr="000E49B7">
              <w:rPr>
                <w:rFonts w:ascii="Times New Roman" w:eastAsia="Malgun Gothic" w:hAnsi="Times New Roman" w:cs="Times New Roman"/>
                <w:color w:val="000000"/>
                <w:sz w:val="20"/>
                <w:szCs w:val="20"/>
              </w:rPr>
              <w:t>denotes</w:t>
            </w:r>
            <w:proofErr w:type="gramEnd"/>
            <w:r w:rsidRPr="000E49B7">
              <w:rPr>
                <w:rFonts w:ascii="Times New Roman" w:eastAsia="Malgun Gothic" w:hAnsi="Times New Roman" w:cs="Times New Roman"/>
                <w:color w:val="000000"/>
                <w:sz w:val="20"/>
                <w:szCs w:val="20"/>
              </w:rPr>
              <w:t xml:space="preserve"> significance at the ten percent level, ** denotes at the five percent level, and *** denotes at the one percent level.</w:t>
            </w:r>
          </w:p>
        </w:tc>
      </w:tr>
    </w:tbl>
    <w:p w14:paraId="38F59112" w14:textId="77777777" w:rsidR="00010080" w:rsidRDefault="00010080" w:rsidP="00010080">
      <w:pPr>
        <w:autoSpaceDE w:val="0"/>
        <w:autoSpaceDN w:val="0"/>
        <w:adjustRightInd w:val="0"/>
        <w:spacing w:after="0" w:line="240" w:lineRule="auto"/>
        <w:jc w:val="both"/>
        <w:rPr>
          <w:rFonts w:ascii="Times New Roman" w:eastAsia="CMR12" w:hAnsi="Times New Roman" w:cs="Times New Roman"/>
          <w:sz w:val="24"/>
          <w:szCs w:val="24"/>
          <w:u w:val="single"/>
          <w14:ligatures w14:val="standardContextual"/>
        </w:rPr>
      </w:pPr>
    </w:p>
    <w:p w14:paraId="127EF19F" w14:textId="77777777" w:rsidR="000E49B7" w:rsidRDefault="000E49B7">
      <w:r>
        <w:br w:type="page"/>
      </w:r>
    </w:p>
    <w:tbl>
      <w:tblPr>
        <w:tblW w:w="7441" w:type="dxa"/>
        <w:jc w:val="center"/>
        <w:tblCellMar>
          <w:left w:w="99" w:type="dxa"/>
          <w:right w:w="99" w:type="dxa"/>
        </w:tblCellMar>
        <w:tblLook w:val="04A0" w:firstRow="1" w:lastRow="0" w:firstColumn="1" w:lastColumn="0" w:noHBand="0" w:noVBand="1"/>
      </w:tblPr>
      <w:tblGrid>
        <w:gridCol w:w="3425"/>
        <w:gridCol w:w="2331"/>
        <w:gridCol w:w="1685"/>
      </w:tblGrid>
      <w:tr w:rsidR="000E49B7" w:rsidRPr="000E49B7" w14:paraId="51978C88" w14:textId="77777777" w:rsidTr="000E49B7">
        <w:trPr>
          <w:trHeight w:val="345"/>
          <w:jc w:val="center"/>
        </w:trPr>
        <w:tc>
          <w:tcPr>
            <w:tcW w:w="7441" w:type="dxa"/>
            <w:gridSpan w:val="3"/>
            <w:tcBorders>
              <w:top w:val="nil"/>
              <w:left w:val="nil"/>
              <w:bottom w:val="double" w:sz="6" w:space="0" w:color="auto"/>
              <w:right w:val="nil"/>
            </w:tcBorders>
            <w:shd w:val="clear" w:color="auto" w:fill="auto"/>
            <w:noWrap/>
            <w:vAlign w:val="bottom"/>
            <w:hideMark/>
          </w:tcPr>
          <w:p w14:paraId="3924BDF1" w14:textId="0AF9214B"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lastRenderedPageBreak/>
              <w:t>Table 6: Potential Mechanism: Advanced Degree</w:t>
            </w:r>
          </w:p>
        </w:tc>
      </w:tr>
      <w:tr w:rsidR="000E49B7" w:rsidRPr="000E49B7" w14:paraId="5BDE77D2" w14:textId="77777777" w:rsidTr="000E49B7">
        <w:trPr>
          <w:trHeight w:val="345"/>
          <w:jc w:val="center"/>
        </w:trPr>
        <w:tc>
          <w:tcPr>
            <w:tcW w:w="3425" w:type="dxa"/>
            <w:tcBorders>
              <w:top w:val="nil"/>
              <w:left w:val="nil"/>
              <w:bottom w:val="nil"/>
              <w:right w:val="nil"/>
            </w:tcBorders>
            <w:shd w:val="clear" w:color="auto" w:fill="auto"/>
            <w:noWrap/>
            <w:vAlign w:val="bottom"/>
            <w:hideMark/>
          </w:tcPr>
          <w:p w14:paraId="3DF73046"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p>
        </w:tc>
        <w:tc>
          <w:tcPr>
            <w:tcW w:w="4016" w:type="dxa"/>
            <w:gridSpan w:val="2"/>
            <w:tcBorders>
              <w:top w:val="double" w:sz="6" w:space="0" w:color="auto"/>
              <w:left w:val="nil"/>
              <w:bottom w:val="nil"/>
              <w:right w:val="nil"/>
            </w:tcBorders>
            <w:shd w:val="clear" w:color="auto" w:fill="auto"/>
            <w:noWrap/>
            <w:vAlign w:val="bottom"/>
            <w:hideMark/>
          </w:tcPr>
          <w:p w14:paraId="4F03B25D" w14:textId="2B081D28"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Dep. Variable: ln</w:t>
            </w:r>
            <w:r>
              <w:rPr>
                <w:rFonts w:ascii="Times New Roman" w:eastAsia="Malgun Gothic" w:hAnsi="Times New Roman" w:cs="Times New Roman"/>
                <w:color w:val="000000"/>
                <w:sz w:val="24"/>
                <w:szCs w:val="24"/>
              </w:rPr>
              <w:t xml:space="preserve"> </w:t>
            </w:r>
            <w:r w:rsidRPr="000E49B7">
              <w:rPr>
                <w:rFonts w:ascii="Times New Roman" w:eastAsia="Malgun Gothic" w:hAnsi="Times New Roman" w:cs="Times New Roman"/>
                <w:color w:val="000000"/>
                <w:sz w:val="24"/>
                <w:szCs w:val="24"/>
              </w:rPr>
              <w:t>(Annual Earnings)</w:t>
            </w:r>
          </w:p>
        </w:tc>
      </w:tr>
      <w:tr w:rsidR="000E49B7" w:rsidRPr="000E49B7" w14:paraId="58A53C73" w14:textId="77777777" w:rsidTr="000E49B7">
        <w:trPr>
          <w:trHeight w:val="330"/>
          <w:jc w:val="center"/>
        </w:trPr>
        <w:tc>
          <w:tcPr>
            <w:tcW w:w="3425" w:type="dxa"/>
            <w:tcBorders>
              <w:top w:val="nil"/>
              <w:left w:val="nil"/>
              <w:bottom w:val="nil"/>
              <w:right w:val="nil"/>
            </w:tcBorders>
            <w:shd w:val="clear" w:color="auto" w:fill="auto"/>
            <w:noWrap/>
            <w:vAlign w:val="bottom"/>
            <w:hideMark/>
          </w:tcPr>
          <w:p w14:paraId="00A78B8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331" w:type="dxa"/>
            <w:tcBorders>
              <w:top w:val="nil"/>
              <w:left w:val="nil"/>
              <w:bottom w:val="nil"/>
              <w:right w:val="nil"/>
            </w:tcBorders>
            <w:shd w:val="clear" w:color="auto" w:fill="auto"/>
            <w:noWrap/>
            <w:vAlign w:val="bottom"/>
            <w:hideMark/>
          </w:tcPr>
          <w:p w14:paraId="36A19F6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Women</w:t>
            </w:r>
          </w:p>
        </w:tc>
        <w:tc>
          <w:tcPr>
            <w:tcW w:w="1685" w:type="dxa"/>
            <w:tcBorders>
              <w:top w:val="nil"/>
              <w:left w:val="nil"/>
              <w:bottom w:val="nil"/>
              <w:right w:val="nil"/>
            </w:tcBorders>
            <w:shd w:val="clear" w:color="auto" w:fill="auto"/>
            <w:noWrap/>
            <w:vAlign w:val="bottom"/>
            <w:hideMark/>
          </w:tcPr>
          <w:p w14:paraId="716C091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Men</w:t>
            </w:r>
          </w:p>
        </w:tc>
      </w:tr>
      <w:tr w:rsidR="000E49B7" w:rsidRPr="000E49B7" w14:paraId="4393782F" w14:textId="77777777" w:rsidTr="000E49B7">
        <w:trPr>
          <w:trHeight w:val="330"/>
          <w:jc w:val="center"/>
        </w:trPr>
        <w:tc>
          <w:tcPr>
            <w:tcW w:w="3425" w:type="dxa"/>
            <w:tcBorders>
              <w:top w:val="nil"/>
              <w:left w:val="nil"/>
              <w:bottom w:val="single" w:sz="4" w:space="0" w:color="auto"/>
              <w:right w:val="nil"/>
            </w:tcBorders>
            <w:shd w:val="clear" w:color="auto" w:fill="auto"/>
            <w:noWrap/>
            <w:vAlign w:val="bottom"/>
            <w:hideMark/>
          </w:tcPr>
          <w:p w14:paraId="560CEF1A"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2331" w:type="dxa"/>
            <w:tcBorders>
              <w:top w:val="nil"/>
              <w:left w:val="nil"/>
              <w:bottom w:val="single" w:sz="4" w:space="0" w:color="auto"/>
              <w:right w:val="nil"/>
            </w:tcBorders>
            <w:shd w:val="clear" w:color="auto" w:fill="auto"/>
            <w:noWrap/>
            <w:vAlign w:val="bottom"/>
            <w:hideMark/>
          </w:tcPr>
          <w:p w14:paraId="493DA4C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w:t>
            </w:r>
          </w:p>
        </w:tc>
        <w:tc>
          <w:tcPr>
            <w:tcW w:w="1685" w:type="dxa"/>
            <w:tcBorders>
              <w:top w:val="nil"/>
              <w:left w:val="nil"/>
              <w:bottom w:val="single" w:sz="4" w:space="0" w:color="auto"/>
              <w:right w:val="nil"/>
            </w:tcBorders>
            <w:shd w:val="clear" w:color="auto" w:fill="auto"/>
            <w:noWrap/>
            <w:vAlign w:val="bottom"/>
            <w:hideMark/>
          </w:tcPr>
          <w:p w14:paraId="5CE7CC3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w:t>
            </w:r>
          </w:p>
        </w:tc>
      </w:tr>
      <w:tr w:rsidR="000E49B7" w:rsidRPr="000E49B7" w14:paraId="46A40786" w14:textId="77777777" w:rsidTr="000E49B7">
        <w:trPr>
          <w:trHeight w:val="330"/>
          <w:jc w:val="center"/>
        </w:trPr>
        <w:tc>
          <w:tcPr>
            <w:tcW w:w="3425" w:type="dxa"/>
            <w:tcBorders>
              <w:top w:val="nil"/>
              <w:left w:val="nil"/>
              <w:bottom w:val="nil"/>
              <w:right w:val="nil"/>
            </w:tcBorders>
            <w:shd w:val="clear" w:color="auto" w:fill="auto"/>
            <w:noWrap/>
            <w:vAlign w:val="bottom"/>
            <w:hideMark/>
          </w:tcPr>
          <w:p w14:paraId="0B76811D"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STEM*CB</w:t>
            </w:r>
          </w:p>
        </w:tc>
        <w:tc>
          <w:tcPr>
            <w:tcW w:w="2331" w:type="dxa"/>
            <w:tcBorders>
              <w:top w:val="nil"/>
              <w:left w:val="nil"/>
              <w:bottom w:val="nil"/>
              <w:right w:val="nil"/>
            </w:tcBorders>
            <w:shd w:val="clear" w:color="auto" w:fill="auto"/>
            <w:noWrap/>
            <w:vAlign w:val="bottom"/>
            <w:hideMark/>
          </w:tcPr>
          <w:p w14:paraId="5C43E77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0.762***</w:t>
            </w:r>
          </w:p>
        </w:tc>
        <w:tc>
          <w:tcPr>
            <w:tcW w:w="1685" w:type="dxa"/>
            <w:tcBorders>
              <w:top w:val="nil"/>
              <w:left w:val="nil"/>
              <w:bottom w:val="nil"/>
              <w:right w:val="nil"/>
            </w:tcBorders>
            <w:shd w:val="clear" w:color="auto" w:fill="auto"/>
            <w:noWrap/>
            <w:vAlign w:val="bottom"/>
            <w:hideMark/>
          </w:tcPr>
          <w:p w14:paraId="34128C7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0.112</w:t>
            </w:r>
          </w:p>
        </w:tc>
      </w:tr>
      <w:tr w:rsidR="000E49B7" w:rsidRPr="000E49B7" w14:paraId="35A2764C" w14:textId="77777777" w:rsidTr="000E49B7">
        <w:trPr>
          <w:trHeight w:val="330"/>
          <w:jc w:val="center"/>
        </w:trPr>
        <w:tc>
          <w:tcPr>
            <w:tcW w:w="3425" w:type="dxa"/>
            <w:tcBorders>
              <w:top w:val="nil"/>
              <w:left w:val="nil"/>
              <w:bottom w:val="nil"/>
              <w:right w:val="nil"/>
            </w:tcBorders>
            <w:shd w:val="clear" w:color="auto" w:fill="auto"/>
            <w:noWrap/>
            <w:vAlign w:val="bottom"/>
            <w:hideMark/>
          </w:tcPr>
          <w:p w14:paraId="1DC18C6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331" w:type="dxa"/>
            <w:tcBorders>
              <w:top w:val="nil"/>
              <w:left w:val="nil"/>
              <w:bottom w:val="nil"/>
              <w:right w:val="nil"/>
            </w:tcBorders>
            <w:shd w:val="clear" w:color="auto" w:fill="auto"/>
            <w:noWrap/>
            <w:vAlign w:val="bottom"/>
            <w:hideMark/>
          </w:tcPr>
          <w:p w14:paraId="2534146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(0.191)</w:t>
            </w:r>
          </w:p>
        </w:tc>
        <w:tc>
          <w:tcPr>
            <w:tcW w:w="1685" w:type="dxa"/>
            <w:tcBorders>
              <w:top w:val="nil"/>
              <w:left w:val="nil"/>
              <w:bottom w:val="nil"/>
              <w:right w:val="nil"/>
            </w:tcBorders>
            <w:shd w:val="clear" w:color="auto" w:fill="auto"/>
            <w:noWrap/>
            <w:vAlign w:val="bottom"/>
            <w:hideMark/>
          </w:tcPr>
          <w:p w14:paraId="59FF63B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(0.270)</w:t>
            </w:r>
          </w:p>
        </w:tc>
      </w:tr>
      <w:tr w:rsidR="000E49B7" w:rsidRPr="000E49B7" w14:paraId="723D68EF" w14:textId="77777777" w:rsidTr="000E49B7">
        <w:trPr>
          <w:trHeight w:val="330"/>
          <w:jc w:val="center"/>
        </w:trPr>
        <w:tc>
          <w:tcPr>
            <w:tcW w:w="3425" w:type="dxa"/>
            <w:tcBorders>
              <w:top w:val="nil"/>
              <w:left w:val="nil"/>
              <w:bottom w:val="nil"/>
              <w:right w:val="nil"/>
            </w:tcBorders>
            <w:shd w:val="clear" w:color="auto" w:fill="auto"/>
            <w:noWrap/>
            <w:vAlign w:val="bottom"/>
            <w:hideMark/>
          </w:tcPr>
          <w:p w14:paraId="34A10845"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
        </w:tc>
        <w:tc>
          <w:tcPr>
            <w:tcW w:w="2331" w:type="dxa"/>
            <w:tcBorders>
              <w:top w:val="nil"/>
              <w:left w:val="nil"/>
              <w:bottom w:val="nil"/>
              <w:right w:val="nil"/>
            </w:tcBorders>
            <w:shd w:val="clear" w:color="auto" w:fill="auto"/>
            <w:noWrap/>
            <w:vAlign w:val="bottom"/>
            <w:hideMark/>
          </w:tcPr>
          <w:p w14:paraId="20C6FD8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-0.541***</w:t>
            </w:r>
          </w:p>
        </w:tc>
        <w:tc>
          <w:tcPr>
            <w:tcW w:w="1685" w:type="dxa"/>
            <w:tcBorders>
              <w:top w:val="nil"/>
              <w:left w:val="nil"/>
              <w:bottom w:val="nil"/>
              <w:right w:val="nil"/>
            </w:tcBorders>
            <w:shd w:val="clear" w:color="auto" w:fill="auto"/>
            <w:noWrap/>
            <w:vAlign w:val="bottom"/>
            <w:hideMark/>
          </w:tcPr>
          <w:p w14:paraId="0CFA1D2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0.077</w:t>
            </w:r>
          </w:p>
        </w:tc>
      </w:tr>
      <w:tr w:rsidR="000E49B7" w:rsidRPr="000E49B7" w14:paraId="65B9686A" w14:textId="77777777" w:rsidTr="000E49B7">
        <w:trPr>
          <w:trHeight w:val="330"/>
          <w:jc w:val="center"/>
        </w:trPr>
        <w:tc>
          <w:tcPr>
            <w:tcW w:w="3425" w:type="dxa"/>
            <w:tcBorders>
              <w:top w:val="nil"/>
              <w:left w:val="nil"/>
              <w:bottom w:val="nil"/>
              <w:right w:val="nil"/>
            </w:tcBorders>
            <w:shd w:val="clear" w:color="auto" w:fill="auto"/>
            <w:noWrap/>
            <w:vAlign w:val="bottom"/>
            <w:hideMark/>
          </w:tcPr>
          <w:p w14:paraId="38EF9E1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331" w:type="dxa"/>
            <w:tcBorders>
              <w:top w:val="nil"/>
              <w:left w:val="nil"/>
              <w:bottom w:val="nil"/>
              <w:right w:val="nil"/>
            </w:tcBorders>
            <w:shd w:val="clear" w:color="auto" w:fill="auto"/>
            <w:noWrap/>
            <w:vAlign w:val="bottom"/>
            <w:hideMark/>
          </w:tcPr>
          <w:p w14:paraId="5B91EA7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(0.151)</w:t>
            </w:r>
          </w:p>
        </w:tc>
        <w:tc>
          <w:tcPr>
            <w:tcW w:w="1685" w:type="dxa"/>
            <w:tcBorders>
              <w:top w:val="nil"/>
              <w:left w:val="nil"/>
              <w:bottom w:val="nil"/>
              <w:right w:val="nil"/>
            </w:tcBorders>
            <w:shd w:val="clear" w:color="auto" w:fill="auto"/>
            <w:noWrap/>
            <w:vAlign w:val="bottom"/>
            <w:hideMark/>
          </w:tcPr>
          <w:p w14:paraId="07DDDEC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(0.167)</w:t>
            </w:r>
          </w:p>
        </w:tc>
      </w:tr>
      <w:tr w:rsidR="000E49B7" w:rsidRPr="000E49B7" w14:paraId="038F92E9" w14:textId="77777777" w:rsidTr="000E49B7">
        <w:trPr>
          <w:trHeight w:val="330"/>
          <w:jc w:val="center"/>
        </w:trPr>
        <w:tc>
          <w:tcPr>
            <w:tcW w:w="3425" w:type="dxa"/>
            <w:tcBorders>
              <w:top w:val="nil"/>
              <w:left w:val="nil"/>
              <w:bottom w:val="nil"/>
              <w:right w:val="nil"/>
            </w:tcBorders>
            <w:shd w:val="clear" w:color="auto" w:fill="auto"/>
            <w:noWrap/>
            <w:vAlign w:val="bottom"/>
            <w:hideMark/>
          </w:tcPr>
          <w:p w14:paraId="14E793B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331" w:type="dxa"/>
            <w:tcBorders>
              <w:top w:val="nil"/>
              <w:left w:val="nil"/>
              <w:bottom w:val="nil"/>
              <w:right w:val="nil"/>
            </w:tcBorders>
            <w:shd w:val="clear" w:color="auto" w:fill="auto"/>
            <w:noWrap/>
            <w:vAlign w:val="bottom"/>
            <w:hideMark/>
          </w:tcPr>
          <w:p w14:paraId="131A617F"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685" w:type="dxa"/>
            <w:tcBorders>
              <w:top w:val="nil"/>
              <w:left w:val="nil"/>
              <w:bottom w:val="nil"/>
              <w:right w:val="nil"/>
            </w:tcBorders>
            <w:shd w:val="clear" w:color="auto" w:fill="auto"/>
            <w:noWrap/>
            <w:vAlign w:val="bottom"/>
            <w:hideMark/>
          </w:tcPr>
          <w:p w14:paraId="761AF756"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r>
      <w:tr w:rsidR="000E49B7" w:rsidRPr="000E49B7" w14:paraId="0F1F4926" w14:textId="77777777" w:rsidTr="000E49B7">
        <w:trPr>
          <w:trHeight w:val="345"/>
          <w:jc w:val="center"/>
        </w:trPr>
        <w:tc>
          <w:tcPr>
            <w:tcW w:w="3425" w:type="dxa"/>
            <w:tcBorders>
              <w:top w:val="nil"/>
              <w:left w:val="nil"/>
              <w:bottom w:val="double" w:sz="6" w:space="0" w:color="auto"/>
              <w:right w:val="nil"/>
            </w:tcBorders>
            <w:shd w:val="clear" w:color="auto" w:fill="auto"/>
            <w:noWrap/>
            <w:vAlign w:val="bottom"/>
            <w:hideMark/>
          </w:tcPr>
          <w:p w14:paraId="3603A114"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2331" w:type="dxa"/>
            <w:tcBorders>
              <w:top w:val="nil"/>
              <w:left w:val="nil"/>
              <w:bottom w:val="double" w:sz="6" w:space="0" w:color="auto"/>
              <w:right w:val="nil"/>
            </w:tcBorders>
            <w:shd w:val="clear" w:color="auto" w:fill="auto"/>
            <w:noWrap/>
            <w:vAlign w:val="bottom"/>
            <w:hideMark/>
          </w:tcPr>
          <w:p w14:paraId="44474B1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313,545</w:t>
            </w:r>
          </w:p>
        </w:tc>
        <w:tc>
          <w:tcPr>
            <w:tcW w:w="1685" w:type="dxa"/>
            <w:tcBorders>
              <w:top w:val="nil"/>
              <w:left w:val="nil"/>
              <w:bottom w:val="double" w:sz="6" w:space="0" w:color="auto"/>
              <w:right w:val="nil"/>
            </w:tcBorders>
            <w:shd w:val="clear" w:color="auto" w:fill="auto"/>
            <w:noWrap/>
            <w:vAlign w:val="bottom"/>
            <w:hideMark/>
          </w:tcPr>
          <w:p w14:paraId="7E188E7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98,167</w:t>
            </w:r>
          </w:p>
        </w:tc>
      </w:tr>
      <w:tr w:rsidR="000E49B7" w:rsidRPr="000E49B7" w14:paraId="6675AA95" w14:textId="77777777" w:rsidTr="000E49B7">
        <w:trPr>
          <w:trHeight w:val="345"/>
          <w:jc w:val="center"/>
        </w:trPr>
        <w:tc>
          <w:tcPr>
            <w:tcW w:w="3425" w:type="dxa"/>
            <w:tcBorders>
              <w:top w:val="nil"/>
              <w:left w:val="nil"/>
              <w:bottom w:val="nil"/>
              <w:right w:val="nil"/>
            </w:tcBorders>
            <w:shd w:val="clear" w:color="auto" w:fill="auto"/>
            <w:noWrap/>
            <w:vAlign w:val="bottom"/>
            <w:hideMark/>
          </w:tcPr>
          <w:p w14:paraId="3E45F479"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Indiv</w:t>
            </w:r>
            <w:proofErr w:type="spellEnd"/>
            <w:r w:rsidRPr="000E49B7">
              <w:rPr>
                <w:rFonts w:ascii="Times New Roman" w:eastAsia="Malgun Gothic" w:hAnsi="Times New Roman" w:cs="Times New Roman"/>
                <w:color w:val="000000"/>
                <w:sz w:val="24"/>
                <w:szCs w:val="24"/>
              </w:rPr>
              <w:t>. Controls</w:t>
            </w:r>
          </w:p>
        </w:tc>
        <w:tc>
          <w:tcPr>
            <w:tcW w:w="2331" w:type="dxa"/>
            <w:tcBorders>
              <w:top w:val="nil"/>
              <w:left w:val="nil"/>
              <w:bottom w:val="nil"/>
              <w:right w:val="nil"/>
            </w:tcBorders>
            <w:shd w:val="clear" w:color="auto" w:fill="auto"/>
            <w:noWrap/>
            <w:vAlign w:val="bottom"/>
            <w:hideMark/>
          </w:tcPr>
          <w:p w14:paraId="1CC08C3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685" w:type="dxa"/>
            <w:tcBorders>
              <w:top w:val="nil"/>
              <w:left w:val="nil"/>
              <w:bottom w:val="nil"/>
              <w:right w:val="nil"/>
            </w:tcBorders>
            <w:shd w:val="clear" w:color="auto" w:fill="auto"/>
            <w:noWrap/>
            <w:vAlign w:val="bottom"/>
            <w:hideMark/>
          </w:tcPr>
          <w:p w14:paraId="21D0E88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154C7ADB" w14:textId="77777777" w:rsidTr="000E49B7">
        <w:trPr>
          <w:trHeight w:val="330"/>
          <w:jc w:val="center"/>
        </w:trPr>
        <w:tc>
          <w:tcPr>
            <w:tcW w:w="3425" w:type="dxa"/>
            <w:tcBorders>
              <w:top w:val="nil"/>
              <w:left w:val="nil"/>
              <w:bottom w:val="nil"/>
              <w:right w:val="nil"/>
            </w:tcBorders>
            <w:shd w:val="clear" w:color="auto" w:fill="auto"/>
            <w:noWrap/>
            <w:vAlign w:val="bottom"/>
            <w:hideMark/>
          </w:tcPr>
          <w:p w14:paraId="4B1DF5AA"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CZ×Year</w:t>
            </w:r>
            <w:proofErr w:type="spellEnd"/>
            <w:r w:rsidRPr="000E49B7">
              <w:rPr>
                <w:rFonts w:ascii="Times New Roman" w:eastAsia="Malgun Gothic" w:hAnsi="Times New Roman" w:cs="Times New Roman"/>
                <w:color w:val="000000"/>
                <w:sz w:val="24"/>
                <w:szCs w:val="24"/>
              </w:rPr>
              <w:t xml:space="preserve"> FE</w:t>
            </w:r>
          </w:p>
        </w:tc>
        <w:tc>
          <w:tcPr>
            <w:tcW w:w="2331" w:type="dxa"/>
            <w:tcBorders>
              <w:top w:val="nil"/>
              <w:left w:val="nil"/>
              <w:bottom w:val="nil"/>
              <w:right w:val="nil"/>
            </w:tcBorders>
            <w:shd w:val="clear" w:color="auto" w:fill="auto"/>
            <w:noWrap/>
            <w:vAlign w:val="bottom"/>
            <w:hideMark/>
          </w:tcPr>
          <w:p w14:paraId="576644F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685" w:type="dxa"/>
            <w:tcBorders>
              <w:top w:val="nil"/>
              <w:left w:val="nil"/>
              <w:bottom w:val="nil"/>
              <w:right w:val="nil"/>
            </w:tcBorders>
            <w:shd w:val="clear" w:color="auto" w:fill="auto"/>
            <w:noWrap/>
            <w:vAlign w:val="bottom"/>
            <w:hideMark/>
          </w:tcPr>
          <w:p w14:paraId="096F7E4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3D19BAFB" w14:textId="77777777" w:rsidTr="000E49B7">
        <w:trPr>
          <w:trHeight w:val="345"/>
          <w:jc w:val="center"/>
        </w:trPr>
        <w:tc>
          <w:tcPr>
            <w:tcW w:w="3425" w:type="dxa"/>
            <w:tcBorders>
              <w:top w:val="nil"/>
              <w:left w:val="nil"/>
              <w:bottom w:val="double" w:sz="6" w:space="0" w:color="auto"/>
              <w:right w:val="nil"/>
            </w:tcBorders>
            <w:shd w:val="clear" w:color="auto" w:fill="auto"/>
            <w:noWrap/>
            <w:vAlign w:val="bottom"/>
            <w:hideMark/>
          </w:tcPr>
          <w:p w14:paraId="3211F036"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State FE</w:t>
            </w:r>
          </w:p>
        </w:tc>
        <w:tc>
          <w:tcPr>
            <w:tcW w:w="2331" w:type="dxa"/>
            <w:tcBorders>
              <w:top w:val="nil"/>
              <w:left w:val="nil"/>
              <w:bottom w:val="double" w:sz="6" w:space="0" w:color="auto"/>
              <w:right w:val="nil"/>
            </w:tcBorders>
            <w:shd w:val="clear" w:color="auto" w:fill="auto"/>
            <w:noWrap/>
            <w:vAlign w:val="bottom"/>
            <w:hideMark/>
          </w:tcPr>
          <w:p w14:paraId="75391A7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685" w:type="dxa"/>
            <w:tcBorders>
              <w:top w:val="nil"/>
              <w:left w:val="nil"/>
              <w:bottom w:val="double" w:sz="6" w:space="0" w:color="auto"/>
              <w:right w:val="nil"/>
            </w:tcBorders>
            <w:shd w:val="clear" w:color="auto" w:fill="auto"/>
            <w:noWrap/>
            <w:vAlign w:val="bottom"/>
            <w:hideMark/>
          </w:tcPr>
          <w:p w14:paraId="2ABA033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3766DECB" w14:textId="77777777" w:rsidTr="000E49B7">
        <w:trPr>
          <w:trHeight w:val="1050"/>
          <w:jc w:val="center"/>
        </w:trPr>
        <w:tc>
          <w:tcPr>
            <w:tcW w:w="7441" w:type="dxa"/>
            <w:gridSpan w:val="3"/>
            <w:tcBorders>
              <w:top w:val="double" w:sz="6" w:space="0" w:color="auto"/>
              <w:left w:val="nil"/>
              <w:bottom w:val="nil"/>
              <w:right w:val="nil"/>
            </w:tcBorders>
            <w:shd w:val="clear" w:color="auto" w:fill="auto"/>
            <w:hideMark/>
          </w:tcPr>
          <w:p w14:paraId="1F2707E7" w14:textId="77777777" w:rsidR="000E49B7" w:rsidRPr="000E49B7" w:rsidRDefault="000E49B7" w:rsidP="000E49B7">
            <w:pPr>
              <w:spacing w:after="0" w:line="240" w:lineRule="auto"/>
              <w:jc w:val="both"/>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t>Notes:</w:t>
            </w:r>
            <w:r w:rsidRPr="000E49B7">
              <w:rPr>
                <w:rFonts w:ascii="Times New Roman" w:eastAsia="Malgun Gothic" w:hAnsi="Times New Roman" w:cs="Times New Roman"/>
                <w:color w:val="000000"/>
                <w:sz w:val="20"/>
                <w:szCs w:val="20"/>
              </w:rPr>
              <w:t xml:space="preserve"> The dependent variable is the duration of experience in years. We use the specification based on Equation (1) to calculate estimates. Standard errors are clustered at the state level. * </w:t>
            </w:r>
            <w:proofErr w:type="gramStart"/>
            <w:r w:rsidRPr="000E49B7">
              <w:rPr>
                <w:rFonts w:ascii="Times New Roman" w:eastAsia="Malgun Gothic" w:hAnsi="Times New Roman" w:cs="Times New Roman"/>
                <w:color w:val="000000"/>
                <w:sz w:val="20"/>
                <w:szCs w:val="20"/>
              </w:rPr>
              <w:t>denotes</w:t>
            </w:r>
            <w:proofErr w:type="gramEnd"/>
            <w:r w:rsidRPr="000E49B7">
              <w:rPr>
                <w:rFonts w:ascii="Times New Roman" w:eastAsia="Malgun Gothic" w:hAnsi="Times New Roman" w:cs="Times New Roman"/>
                <w:color w:val="000000"/>
                <w:sz w:val="20"/>
                <w:szCs w:val="20"/>
              </w:rPr>
              <w:t xml:space="preserve"> significance at the ten percent level, ** denotes at the five percent level, and *** denotes at the one percent level.</w:t>
            </w:r>
          </w:p>
        </w:tc>
      </w:tr>
    </w:tbl>
    <w:p w14:paraId="621C0388" w14:textId="77777777" w:rsidR="000E49B7" w:rsidRDefault="000E49B7" w:rsidP="000E49B7">
      <w:pPr>
        <w:widowControl w:val="0"/>
        <w:autoSpaceDE w:val="0"/>
        <w:autoSpaceDN w:val="0"/>
        <w:adjustRightInd w:val="0"/>
        <w:spacing w:after="0" w:line="240" w:lineRule="auto"/>
        <w:rPr>
          <w:rFonts w:ascii="CMBX12" w:eastAsia="CMBX12" w:cs="CMBX12"/>
          <w:sz w:val="29"/>
          <w:szCs w:val="29"/>
          <w14:ligatures w14:val="standardContextual"/>
        </w:rPr>
      </w:pPr>
    </w:p>
    <w:p w14:paraId="5BBAC30B" w14:textId="77777777" w:rsidR="000E49B7" w:rsidRDefault="000E49B7" w:rsidP="000E49B7">
      <w:pPr>
        <w:widowControl w:val="0"/>
        <w:autoSpaceDE w:val="0"/>
        <w:autoSpaceDN w:val="0"/>
        <w:adjustRightInd w:val="0"/>
        <w:spacing w:after="0" w:line="240" w:lineRule="auto"/>
        <w:rPr>
          <w:rFonts w:ascii="CMBX12" w:eastAsia="CMBX12" w:cs="CMBX12"/>
          <w:sz w:val="29"/>
          <w:szCs w:val="29"/>
          <w14:ligatures w14:val="standardContextual"/>
        </w:rPr>
      </w:pPr>
    </w:p>
    <w:p w14:paraId="1A427083" w14:textId="77777777" w:rsidR="000E49B7" w:rsidRDefault="000E49B7">
      <w:pPr>
        <w:jc w:val="both"/>
        <w:rPr>
          <w:rFonts w:ascii="CMBX12" w:eastAsia="CMBX12" w:cs="CMBX12"/>
          <w:sz w:val="34"/>
          <w:szCs w:val="34"/>
          <w14:ligatures w14:val="standardContextual"/>
        </w:rPr>
      </w:pPr>
      <w:r>
        <w:rPr>
          <w:rFonts w:ascii="CMBX12" w:eastAsia="CMBX12" w:cs="CMBX12"/>
          <w:sz w:val="34"/>
          <w:szCs w:val="34"/>
          <w14:ligatures w14:val="standardContextual"/>
        </w:rPr>
        <w:br w:type="page"/>
      </w:r>
    </w:p>
    <w:p w14:paraId="7DCD9FEA" w14:textId="01A10B7D" w:rsidR="000E49B7" w:rsidRPr="000E49B7" w:rsidRDefault="000E49B7" w:rsidP="000E49B7">
      <w:pPr>
        <w:widowControl w:val="0"/>
        <w:autoSpaceDE w:val="0"/>
        <w:autoSpaceDN w:val="0"/>
        <w:adjustRightInd w:val="0"/>
        <w:spacing w:line="240" w:lineRule="auto"/>
        <w:jc w:val="center"/>
        <w:rPr>
          <w:rFonts w:ascii="Times New Roman" w:eastAsia="CMBX12" w:hAnsi="Times New Roman" w:cs="Times New Roman"/>
          <w:b/>
          <w:bCs/>
          <w:sz w:val="29"/>
          <w:szCs w:val="29"/>
          <w14:ligatures w14:val="standardContextual"/>
        </w:rPr>
      </w:pPr>
      <w:r w:rsidRPr="000E49B7">
        <w:rPr>
          <w:rFonts w:ascii="Times New Roman" w:eastAsia="CMBX12" w:hAnsi="Times New Roman" w:cs="Times New Roman"/>
          <w:b/>
          <w:bCs/>
          <w:sz w:val="34"/>
          <w:szCs w:val="34"/>
          <w14:ligatures w14:val="standardContextual"/>
        </w:rPr>
        <w:lastRenderedPageBreak/>
        <w:t>Appendix</w:t>
      </w:r>
    </w:p>
    <w:p w14:paraId="27A4EB22" w14:textId="26D96A3E" w:rsidR="000E49B7" w:rsidRPr="000E49B7" w:rsidRDefault="000E49B7" w:rsidP="000E49B7">
      <w:pPr>
        <w:widowControl w:val="0"/>
        <w:autoSpaceDE w:val="0"/>
        <w:autoSpaceDN w:val="0"/>
        <w:adjustRightInd w:val="0"/>
        <w:spacing w:line="240" w:lineRule="auto"/>
        <w:rPr>
          <w:rFonts w:ascii="Times New Roman" w:eastAsia="CMBX12" w:hAnsi="Times New Roman" w:cs="Times New Roman"/>
          <w:b/>
          <w:bCs/>
          <w:sz w:val="29"/>
          <w:szCs w:val="29"/>
          <w14:ligatures w14:val="standardContextual"/>
        </w:rPr>
      </w:pPr>
      <w:r w:rsidRPr="000E49B7">
        <w:rPr>
          <w:rFonts w:ascii="Times New Roman" w:eastAsia="CMBX12" w:hAnsi="Times New Roman" w:cs="Times New Roman"/>
          <w:b/>
          <w:bCs/>
          <w:sz w:val="29"/>
          <w:szCs w:val="29"/>
          <w14:ligatures w14:val="standardContextual"/>
        </w:rPr>
        <w:t>CPS Data</w:t>
      </w:r>
    </w:p>
    <w:p w14:paraId="71351C29" w14:textId="73F7446D" w:rsidR="000E49B7" w:rsidRDefault="000E49B7" w:rsidP="000E49B7">
      <w:pPr>
        <w:widowControl w:val="0"/>
        <w:autoSpaceDE w:val="0"/>
        <w:autoSpaceDN w:val="0"/>
        <w:adjustRightInd w:val="0"/>
        <w:spacing w:line="240" w:lineRule="auto"/>
        <w:jc w:val="both"/>
        <w:rPr>
          <w:rFonts w:ascii="Times New Roman" w:eastAsia="CMR10" w:hAnsi="Times New Roman" w:cs="Times New Roman"/>
          <w:sz w:val="24"/>
          <w:szCs w:val="24"/>
          <w14:ligatures w14:val="standardContextual"/>
        </w:rPr>
      </w:pPr>
      <w:proofErr w:type="gramStart"/>
      <w:r w:rsidRPr="000E49B7">
        <w:rPr>
          <w:rFonts w:ascii="Times New Roman" w:eastAsia="CMR10" w:hAnsi="Times New Roman" w:cs="Times New Roman"/>
          <w:sz w:val="24"/>
          <w:szCs w:val="24"/>
          <w14:ligatures w14:val="standardContextual"/>
        </w:rPr>
        <w:t>In order to</w:t>
      </w:r>
      <w:proofErr w:type="gramEnd"/>
      <w:r w:rsidRPr="000E49B7">
        <w:rPr>
          <w:rFonts w:ascii="Times New Roman" w:eastAsia="CMR10" w:hAnsi="Times New Roman" w:cs="Times New Roman"/>
          <w:sz w:val="24"/>
          <w:szCs w:val="24"/>
          <w14:ligatures w14:val="standardContextual"/>
        </w:rPr>
        <w:t xml:space="preserve"> calculate union density across states, we use the basic monthly Current Population Survey (CPS)</w:t>
      </w:r>
      <w:r w:rsidRPr="000E49B7">
        <w:rPr>
          <w:rFonts w:ascii="Times New Roman" w:eastAsia="CMR10" w:hAnsi="Times New Roman" w:cs="Times New Roman" w:hint="eastAsia"/>
          <w:sz w:val="24"/>
          <w:szCs w:val="24"/>
          <w14:ligatures w14:val="standardContextual"/>
        </w:rPr>
        <w:t xml:space="preserve"> </w:t>
      </w:r>
      <w:r w:rsidRPr="000E49B7">
        <w:rPr>
          <w:rFonts w:ascii="Times New Roman" w:eastAsia="CMR10" w:hAnsi="Times New Roman" w:cs="Times New Roman"/>
          <w:sz w:val="24"/>
          <w:szCs w:val="24"/>
          <w14:ligatures w14:val="standardContextual"/>
        </w:rPr>
        <w:t>data spanning from 2009 to 2018. The CPS, which is a representative sample of the entire population in the</w:t>
      </w:r>
      <w:r w:rsidRPr="000E49B7">
        <w:rPr>
          <w:rFonts w:ascii="Times New Roman" w:eastAsia="CMR10" w:hAnsi="Times New Roman" w:cs="Times New Roman" w:hint="eastAsia"/>
          <w:sz w:val="24"/>
          <w:szCs w:val="24"/>
          <w14:ligatures w14:val="standardContextual"/>
        </w:rPr>
        <w:t xml:space="preserve"> </w:t>
      </w:r>
      <w:r w:rsidRPr="000E49B7">
        <w:rPr>
          <w:rFonts w:ascii="Times New Roman" w:eastAsia="CMR10" w:hAnsi="Times New Roman" w:cs="Times New Roman"/>
          <w:sz w:val="24"/>
          <w:szCs w:val="24"/>
          <w14:ligatures w14:val="standardContextual"/>
        </w:rPr>
        <w:t>U.S., serves as a primary source of labor market statistics such as employment, unemployment, and labor force</w:t>
      </w:r>
      <w:r w:rsidRPr="000E49B7">
        <w:rPr>
          <w:rFonts w:ascii="Times New Roman" w:eastAsia="CMR10" w:hAnsi="Times New Roman" w:cs="Times New Roman" w:hint="eastAsia"/>
          <w:sz w:val="24"/>
          <w:szCs w:val="24"/>
          <w14:ligatures w14:val="standardContextual"/>
        </w:rPr>
        <w:t xml:space="preserve"> </w:t>
      </w:r>
      <w:r w:rsidRPr="000E49B7">
        <w:rPr>
          <w:rFonts w:ascii="Times New Roman" w:eastAsia="CMR10" w:hAnsi="Times New Roman" w:cs="Times New Roman"/>
          <w:sz w:val="24"/>
          <w:szCs w:val="24"/>
          <w14:ligatures w14:val="standardContextual"/>
        </w:rPr>
        <w:t>participation. We categorize teachers into being covered by unions if they report that they are either “member</w:t>
      </w:r>
      <w:r w:rsidRPr="000E49B7">
        <w:rPr>
          <w:rFonts w:ascii="Times New Roman" w:eastAsia="CMR10" w:hAnsi="Times New Roman" w:cs="Times New Roman" w:hint="eastAsia"/>
          <w:sz w:val="24"/>
          <w:szCs w:val="24"/>
          <w14:ligatures w14:val="standardContextual"/>
        </w:rPr>
        <w:t xml:space="preserve"> </w:t>
      </w:r>
      <w:r w:rsidRPr="000E49B7">
        <w:rPr>
          <w:rFonts w:ascii="Times New Roman" w:eastAsia="CMR10" w:hAnsi="Times New Roman" w:cs="Times New Roman"/>
          <w:sz w:val="24"/>
          <w:szCs w:val="24"/>
          <w14:ligatures w14:val="standardContextual"/>
        </w:rPr>
        <w:t>of labor union” or “covered by union but not a member.” We apply the weight using the variable “EARNWT,”</w:t>
      </w:r>
      <w:r w:rsidRPr="000E49B7">
        <w:rPr>
          <w:rFonts w:ascii="Times New Roman" w:eastAsia="CMR10" w:hAnsi="Times New Roman" w:cs="Times New Roman" w:hint="eastAsia"/>
          <w:sz w:val="24"/>
          <w:szCs w:val="24"/>
          <w14:ligatures w14:val="standardContextual"/>
        </w:rPr>
        <w:t xml:space="preserve"> </w:t>
      </w:r>
      <w:r w:rsidRPr="000E49B7">
        <w:rPr>
          <w:rFonts w:ascii="Times New Roman" w:eastAsia="CMR10" w:hAnsi="Times New Roman" w:cs="Times New Roman"/>
          <w:sz w:val="24"/>
          <w:szCs w:val="24"/>
          <w14:ligatures w14:val="standardContextual"/>
        </w:rPr>
        <w:t>which represents a personal-level weight.</w:t>
      </w:r>
    </w:p>
    <w:p w14:paraId="70180D3A" w14:textId="65C053F1" w:rsidR="000E49B7" w:rsidRDefault="000E49B7">
      <w:pPr>
        <w:jc w:val="both"/>
        <w:rPr>
          <w:rFonts w:ascii="Times New Roman" w:eastAsia="CMR10" w:hAnsi="Times New Roman" w:cs="Times New Roman"/>
          <w:sz w:val="24"/>
          <w:szCs w:val="24"/>
          <w14:ligatures w14:val="standardContextual"/>
        </w:rPr>
      </w:pPr>
      <w:r>
        <w:rPr>
          <w:rFonts w:ascii="Times New Roman" w:eastAsia="CMR10" w:hAnsi="Times New Roman" w:cs="Times New Roman"/>
          <w:sz w:val="24"/>
          <w:szCs w:val="24"/>
          <w14:ligatures w14:val="standardContextual"/>
        </w:rPr>
        <w:br w:type="page"/>
      </w:r>
    </w:p>
    <w:tbl>
      <w:tblPr>
        <w:tblW w:w="7441" w:type="dxa"/>
        <w:jc w:val="center"/>
        <w:tblCellMar>
          <w:left w:w="99" w:type="dxa"/>
          <w:right w:w="99" w:type="dxa"/>
        </w:tblCellMar>
        <w:tblLook w:val="04A0" w:firstRow="1" w:lastRow="0" w:firstColumn="1" w:lastColumn="0" w:noHBand="0" w:noVBand="1"/>
      </w:tblPr>
      <w:tblGrid>
        <w:gridCol w:w="3151"/>
        <w:gridCol w:w="112"/>
        <w:gridCol w:w="2033"/>
        <w:gridCol w:w="188"/>
        <w:gridCol w:w="1957"/>
      </w:tblGrid>
      <w:tr w:rsidR="000E49B7" w:rsidRPr="000E49B7" w14:paraId="7DA2B015" w14:textId="77777777" w:rsidTr="000E49B7">
        <w:trPr>
          <w:trHeight w:val="345"/>
          <w:jc w:val="center"/>
        </w:trPr>
        <w:tc>
          <w:tcPr>
            <w:tcW w:w="7441" w:type="dxa"/>
            <w:gridSpan w:val="5"/>
            <w:tcBorders>
              <w:top w:val="nil"/>
              <w:left w:val="nil"/>
              <w:bottom w:val="double" w:sz="6" w:space="0" w:color="auto"/>
              <w:right w:val="nil"/>
            </w:tcBorders>
            <w:shd w:val="clear" w:color="auto" w:fill="auto"/>
            <w:noWrap/>
            <w:vAlign w:val="bottom"/>
            <w:hideMark/>
          </w:tcPr>
          <w:p w14:paraId="24C6E743"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lastRenderedPageBreak/>
              <w:t>Table A1: Adding 5 States That Repealed CB Laws</w:t>
            </w:r>
          </w:p>
        </w:tc>
      </w:tr>
      <w:tr w:rsidR="000E49B7" w:rsidRPr="000E49B7" w14:paraId="0E6E1339" w14:textId="77777777" w:rsidTr="000E49B7">
        <w:trPr>
          <w:trHeight w:val="345"/>
          <w:jc w:val="center"/>
        </w:trPr>
        <w:tc>
          <w:tcPr>
            <w:tcW w:w="3151" w:type="dxa"/>
            <w:tcBorders>
              <w:top w:val="nil"/>
              <w:left w:val="nil"/>
              <w:bottom w:val="nil"/>
              <w:right w:val="nil"/>
            </w:tcBorders>
            <w:shd w:val="clear" w:color="auto" w:fill="auto"/>
            <w:noWrap/>
            <w:vAlign w:val="bottom"/>
            <w:hideMark/>
          </w:tcPr>
          <w:p w14:paraId="6549FF0D"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p>
        </w:tc>
        <w:tc>
          <w:tcPr>
            <w:tcW w:w="4290" w:type="dxa"/>
            <w:gridSpan w:val="4"/>
            <w:tcBorders>
              <w:top w:val="double" w:sz="6" w:space="0" w:color="auto"/>
              <w:left w:val="nil"/>
              <w:bottom w:val="nil"/>
              <w:right w:val="nil"/>
            </w:tcBorders>
            <w:shd w:val="clear" w:color="auto" w:fill="auto"/>
            <w:noWrap/>
            <w:vAlign w:val="bottom"/>
            <w:hideMark/>
          </w:tcPr>
          <w:p w14:paraId="62CA8570" w14:textId="19338B1B"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Dep. Variable: ln</w:t>
            </w:r>
            <w:r>
              <w:rPr>
                <w:rFonts w:ascii="Times New Roman" w:eastAsia="Malgun Gothic" w:hAnsi="Times New Roman" w:cs="Times New Roman"/>
                <w:color w:val="000000"/>
                <w:sz w:val="24"/>
                <w:szCs w:val="24"/>
              </w:rPr>
              <w:t xml:space="preserve"> </w:t>
            </w:r>
            <w:r w:rsidRPr="000E49B7">
              <w:rPr>
                <w:rFonts w:ascii="Times New Roman" w:eastAsia="Malgun Gothic" w:hAnsi="Times New Roman" w:cs="Times New Roman"/>
                <w:color w:val="000000"/>
                <w:sz w:val="24"/>
                <w:szCs w:val="24"/>
              </w:rPr>
              <w:t>(Annual Earnings)</w:t>
            </w:r>
          </w:p>
        </w:tc>
      </w:tr>
      <w:tr w:rsidR="000E49B7" w:rsidRPr="000E49B7" w14:paraId="75374DFF"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2FE43D0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145" w:type="dxa"/>
            <w:gridSpan w:val="2"/>
            <w:tcBorders>
              <w:top w:val="nil"/>
              <w:left w:val="nil"/>
              <w:bottom w:val="nil"/>
              <w:right w:val="nil"/>
            </w:tcBorders>
            <w:shd w:val="clear" w:color="auto" w:fill="auto"/>
            <w:noWrap/>
            <w:vAlign w:val="bottom"/>
            <w:hideMark/>
          </w:tcPr>
          <w:p w14:paraId="6205649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Women</w:t>
            </w:r>
          </w:p>
        </w:tc>
        <w:tc>
          <w:tcPr>
            <w:tcW w:w="2145" w:type="dxa"/>
            <w:gridSpan w:val="2"/>
            <w:tcBorders>
              <w:top w:val="nil"/>
              <w:left w:val="nil"/>
              <w:bottom w:val="nil"/>
              <w:right w:val="nil"/>
            </w:tcBorders>
            <w:shd w:val="clear" w:color="auto" w:fill="auto"/>
            <w:noWrap/>
            <w:vAlign w:val="bottom"/>
            <w:hideMark/>
          </w:tcPr>
          <w:p w14:paraId="03F1FB0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Men</w:t>
            </w:r>
          </w:p>
        </w:tc>
      </w:tr>
      <w:tr w:rsidR="000E49B7" w:rsidRPr="000E49B7" w14:paraId="795FF2B2" w14:textId="77777777" w:rsidTr="000E49B7">
        <w:trPr>
          <w:trHeight w:val="330"/>
          <w:jc w:val="center"/>
        </w:trPr>
        <w:tc>
          <w:tcPr>
            <w:tcW w:w="3151" w:type="dxa"/>
            <w:tcBorders>
              <w:top w:val="nil"/>
              <w:left w:val="nil"/>
              <w:bottom w:val="single" w:sz="4" w:space="0" w:color="auto"/>
              <w:right w:val="nil"/>
            </w:tcBorders>
            <w:shd w:val="clear" w:color="auto" w:fill="auto"/>
            <w:noWrap/>
            <w:vAlign w:val="bottom"/>
            <w:hideMark/>
          </w:tcPr>
          <w:p w14:paraId="65B81A68"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2145" w:type="dxa"/>
            <w:gridSpan w:val="2"/>
            <w:tcBorders>
              <w:top w:val="nil"/>
              <w:left w:val="nil"/>
              <w:bottom w:val="single" w:sz="4" w:space="0" w:color="auto"/>
              <w:right w:val="nil"/>
            </w:tcBorders>
            <w:shd w:val="clear" w:color="auto" w:fill="auto"/>
            <w:noWrap/>
            <w:vAlign w:val="bottom"/>
            <w:hideMark/>
          </w:tcPr>
          <w:p w14:paraId="62DA01D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w:t>
            </w:r>
          </w:p>
        </w:tc>
        <w:tc>
          <w:tcPr>
            <w:tcW w:w="2145" w:type="dxa"/>
            <w:gridSpan w:val="2"/>
            <w:tcBorders>
              <w:top w:val="nil"/>
              <w:left w:val="nil"/>
              <w:bottom w:val="single" w:sz="4" w:space="0" w:color="auto"/>
              <w:right w:val="nil"/>
            </w:tcBorders>
            <w:shd w:val="clear" w:color="auto" w:fill="auto"/>
            <w:noWrap/>
            <w:vAlign w:val="bottom"/>
            <w:hideMark/>
          </w:tcPr>
          <w:p w14:paraId="60856AD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w:t>
            </w:r>
          </w:p>
        </w:tc>
      </w:tr>
      <w:tr w:rsidR="000E49B7" w:rsidRPr="000E49B7" w14:paraId="5F70B6D7"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70EE92E4"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STEM*CB</w:t>
            </w:r>
          </w:p>
        </w:tc>
        <w:tc>
          <w:tcPr>
            <w:tcW w:w="2145" w:type="dxa"/>
            <w:gridSpan w:val="2"/>
            <w:tcBorders>
              <w:top w:val="nil"/>
              <w:left w:val="nil"/>
              <w:bottom w:val="nil"/>
              <w:right w:val="nil"/>
            </w:tcBorders>
            <w:shd w:val="clear" w:color="auto" w:fill="auto"/>
            <w:noWrap/>
            <w:vAlign w:val="bottom"/>
            <w:hideMark/>
          </w:tcPr>
          <w:p w14:paraId="0B863B5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0.066***</w:t>
            </w:r>
          </w:p>
        </w:tc>
        <w:tc>
          <w:tcPr>
            <w:tcW w:w="2145" w:type="dxa"/>
            <w:gridSpan w:val="2"/>
            <w:tcBorders>
              <w:top w:val="nil"/>
              <w:left w:val="nil"/>
              <w:bottom w:val="nil"/>
              <w:right w:val="nil"/>
            </w:tcBorders>
            <w:shd w:val="clear" w:color="auto" w:fill="auto"/>
            <w:noWrap/>
            <w:vAlign w:val="bottom"/>
            <w:hideMark/>
          </w:tcPr>
          <w:p w14:paraId="379EBAC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0.021</w:t>
            </w:r>
          </w:p>
        </w:tc>
      </w:tr>
      <w:tr w:rsidR="000E49B7" w:rsidRPr="000E49B7" w14:paraId="6F621CE8"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02233FA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145" w:type="dxa"/>
            <w:gridSpan w:val="2"/>
            <w:tcBorders>
              <w:top w:val="nil"/>
              <w:left w:val="nil"/>
              <w:bottom w:val="nil"/>
              <w:right w:val="nil"/>
            </w:tcBorders>
            <w:shd w:val="clear" w:color="auto" w:fill="auto"/>
            <w:noWrap/>
            <w:vAlign w:val="bottom"/>
            <w:hideMark/>
          </w:tcPr>
          <w:p w14:paraId="1D4ECD6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(0.023)</w:t>
            </w:r>
          </w:p>
        </w:tc>
        <w:tc>
          <w:tcPr>
            <w:tcW w:w="2145" w:type="dxa"/>
            <w:gridSpan w:val="2"/>
            <w:tcBorders>
              <w:top w:val="nil"/>
              <w:left w:val="nil"/>
              <w:bottom w:val="nil"/>
              <w:right w:val="nil"/>
            </w:tcBorders>
            <w:shd w:val="clear" w:color="auto" w:fill="auto"/>
            <w:noWrap/>
            <w:vAlign w:val="bottom"/>
            <w:hideMark/>
          </w:tcPr>
          <w:p w14:paraId="732BB8E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(0.015)</w:t>
            </w:r>
          </w:p>
        </w:tc>
      </w:tr>
      <w:tr w:rsidR="000E49B7" w:rsidRPr="000E49B7" w14:paraId="14EFA47D"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21FBF522"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
        </w:tc>
        <w:tc>
          <w:tcPr>
            <w:tcW w:w="2145" w:type="dxa"/>
            <w:gridSpan w:val="2"/>
            <w:tcBorders>
              <w:top w:val="nil"/>
              <w:left w:val="nil"/>
              <w:bottom w:val="nil"/>
              <w:right w:val="nil"/>
            </w:tcBorders>
            <w:shd w:val="clear" w:color="auto" w:fill="auto"/>
            <w:noWrap/>
            <w:vAlign w:val="bottom"/>
            <w:hideMark/>
          </w:tcPr>
          <w:p w14:paraId="59F7CEC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-0.110***</w:t>
            </w:r>
          </w:p>
        </w:tc>
        <w:tc>
          <w:tcPr>
            <w:tcW w:w="2145" w:type="dxa"/>
            <w:gridSpan w:val="2"/>
            <w:tcBorders>
              <w:top w:val="nil"/>
              <w:left w:val="nil"/>
              <w:bottom w:val="nil"/>
              <w:right w:val="nil"/>
            </w:tcBorders>
            <w:shd w:val="clear" w:color="auto" w:fill="auto"/>
            <w:noWrap/>
            <w:vAlign w:val="bottom"/>
            <w:hideMark/>
          </w:tcPr>
          <w:p w14:paraId="12C46F5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-0.037***</w:t>
            </w:r>
          </w:p>
        </w:tc>
      </w:tr>
      <w:tr w:rsidR="000E49B7" w:rsidRPr="000E49B7" w14:paraId="25B1CCF7"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4886010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145" w:type="dxa"/>
            <w:gridSpan w:val="2"/>
            <w:tcBorders>
              <w:top w:val="nil"/>
              <w:left w:val="nil"/>
              <w:bottom w:val="nil"/>
              <w:right w:val="nil"/>
            </w:tcBorders>
            <w:shd w:val="clear" w:color="auto" w:fill="auto"/>
            <w:noWrap/>
            <w:vAlign w:val="bottom"/>
            <w:hideMark/>
          </w:tcPr>
          <w:p w14:paraId="57E1B35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(0.014)</w:t>
            </w:r>
          </w:p>
        </w:tc>
        <w:tc>
          <w:tcPr>
            <w:tcW w:w="2145" w:type="dxa"/>
            <w:gridSpan w:val="2"/>
            <w:tcBorders>
              <w:top w:val="nil"/>
              <w:left w:val="nil"/>
              <w:bottom w:val="nil"/>
              <w:right w:val="nil"/>
            </w:tcBorders>
            <w:shd w:val="clear" w:color="auto" w:fill="auto"/>
            <w:noWrap/>
            <w:vAlign w:val="bottom"/>
            <w:hideMark/>
          </w:tcPr>
          <w:p w14:paraId="08AB10D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(0.010)</w:t>
            </w:r>
          </w:p>
        </w:tc>
      </w:tr>
      <w:tr w:rsidR="000E49B7" w:rsidRPr="000E49B7" w14:paraId="1FCA93F4"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3110F6C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145" w:type="dxa"/>
            <w:gridSpan w:val="2"/>
            <w:tcBorders>
              <w:top w:val="nil"/>
              <w:left w:val="nil"/>
              <w:bottom w:val="nil"/>
              <w:right w:val="nil"/>
            </w:tcBorders>
            <w:shd w:val="clear" w:color="auto" w:fill="auto"/>
            <w:noWrap/>
            <w:vAlign w:val="bottom"/>
            <w:hideMark/>
          </w:tcPr>
          <w:p w14:paraId="72D8CC7E"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2145" w:type="dxa"/>
            <w:gridSpan w:val="2"/>
            <w:tcBorders>
              <w:top w:val="nil"/>
              <w:left w:val="nil"/>
              <w:bottom w:val="nil"/>
              <w:right w:val="nil"/>
            </w:tcBorders>
            <w:shd w:val="clear" w:color="auto" w:fill="auto"/>
            <w:noWrap/>
            <w:vAlign w:val="bottom"/>
            <w:hideMark/>
          </w:tcPr>
          <w:p w14:paraId="0229FC8E"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r>
      <w:tr w:rsidR="000E49B7" w:rsidRPr="000E49B7" w14:paraId="2D85B2BD" w14:textId="77777777" w:rsidTr="000E49B7">
        <w:trPr>
          <w:trHeight w:val="345"/>
          <w:jc w:val="center"/>
        </w:trPr>
        <w:tc>
          <w:tcPr>
            <w:tcW w:w="3151" w:type="dxa"/>
            <w:tcBorders>
              <w:top w:val="nil"/>
              <w:left w:val="nil"/>
              <w:bottom w:val="double" w:sz="6" w:space="0" w:color="auto"/>
              <w:right w:val="nil"/>
            </w:tcBorders>
            <w:shd w:val="clear" w:color="auto" w:fill="auto"/>
            <w:noWrap/>
            <w:vAlign w:val="bottom"/>
            <w:hideMark/>
          </w:tcPr>
          <w:p w14:paraId="399AAC3E"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2145" w:type="dxa"/>
            <w:gridSpan w:val="2"/>
            <w:tcBorders>
              <w:top w:val="nil"/>
              <w:left w:val="nil"/>
              <w:bottom w:val="double" w:sz="6" w:space="0" w:color="auto"/>
              <w:right w:val="nil"/>
            </w:tcBorders>
            <w:shd w:val="clear" w:color="auto" w:fill="auto"/>
            <w:noWrap/>
            <w:vAlign w:val="bottom"/>
            <w:hideMark/>
          </w:tcPr>
          <w:p w14:paraId="7DCEA4A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332,905</w:t>
            </w:r>
          </w:p>
        </w:tc>
        <w:tc>
          <w:tcPr>
            <w:tcW w:w="2145" w:type="dxa"/>
            <w:gridSpan w:val="2"/>
            <w:tcBorders>
              <w:top w:val="nil"/>
              <w:left w:val="nil"/>
              <w:bottom w:val="double" w:sz="6" w:space="0" w:color="auto"/>
              <w:right w:val="nil"/>
            </w:tcBorders>
            <w:shd w:val="clear" w:color="auto" w:fill="auto"/>
            <w:noWrap/>
            <w:vAlign w:val="bottom"/>
            <w:hideMark/>
          </w:tcPr>
          <w:p w14:paraId="7B8EBA1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105,115</w:t>
            </w:r>
          </w:p>
        </w:tc>
      </w:tr>
      <w:tr w:rsidR="000E49B7" w:rsidRPr="000E49B7" w14:paraId="352EF172" w14:textId="77777777" w:rsidTr="000E49B7">
        <w:trPr>
          <w:trHeight w:val="345"/>
          <w:jc w:val="center"/>
        </w:trPr>
        <w:tc>
          <w:tcPr>
            <w:tcW w:w="3151" w:type="dxa"/>
            <w:tcBorders>
              <w:top w:val="nil"/>
              <w:left w:val="nil"/>
              <w:bottom w:val="nil"/>
              <w:right w:val="nil"/>
            </w:tcBorders>
            <w:shd w:val="clear" w:color="auto" w:fill="auto"/>
            <w:noWrap/>
            <w:vAlign w:val="bottom"/>
            <w:hideMark/>
          </w:tcPr>
          <w:p w14:paraId="7D26C0EB"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Indiv</w:t>
            </w:r>
            <w:proofErr w:type="spellEnd"/>
            <w:r w:rsidRPr="000E49B7">
              <w:rPr>
                <w:rFonts w:ascii="Times New Roman" w:eastAsia="Malgun Gothic" w:hAnsi="Times New Roman" w:cs="Times New Roman"/>
                <w:color w:val="000000"/>
                <w:sz w:val="24"/>
                <w:szCs w:val="24"/>
              </w:rPr>
              <w:t>. Controls</w:t>
            </w:r>
          </w:p>
        </w:tc>
        <w:tc>
          <w:tcPr>
            <w:tcW w:w="2145" w:type="dxa"/>
            <w:gridSpan w:val="2"/>
            <w:tcBorders>
              <w:top w:val="nil"/>
              <w:left w:val="nil"/>
              <w:bottom w:val="nil"/>
              <w:right w:val="nil"/>
            </w:tcBorders>
            <w:shd w:val="clear" w:color="auto" w:fill="auto"/>
            <w:noWrap/>
            <w:vAlign w:val="bottom"/>
            <w:hideMark/>
          </w:tcPr>
          <w:p w14:paraId="52C3E36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2145" w:type="dxa"/>
            <w:gridSpan w:val="2"/>
            <w:tcBorders>
              <w:top w:val="nil"/>
              <w:left w:val="nil"/>
              <w:bottom w:val="nil"/>
              <w:right w:val="nil"/>
            </w:tcBorders>
            <w:shd w:val="clear" w:color="auto" w:fill="auto"/>
            <w:noWrap/>
            <w:vAlign w:val="bottom"/>
            <w:hideMark/>
          </w:tcPr>
          <w:p w14:paraId="3FF8570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797B41DD"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64F176B5"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CZ×Year</w:t>
            </w:r>
            <w:proofErr w:type="spellEnd"/>
            <w:r w:rsidRPr="000E49B7">
              <w:rPr>
                <w:rFonts w:ascii="Times New Roman" w:eastAsia="Malgun Gothic" w:hAnsi="Times New Roman" w:cs="Times New Roman"/>
                <w:color w:val="000000"/>
                <w:sz w:val="24"/>
                <w:szCs w:val="24"/>
              </w:rPr>
              <w:t xml:space="preserve"> FE</w:t>
            </w:r>
          </w:p>
        </w:tc>
        <w:tc>
          <w:tcPr>
            <w:tcW w:w="2145" w:type="dxa"/>
            <w:gridSpan w:val="2"/>
            <w:tcBorders>
              <w:top w:val="nil"/>
              <w:left w:val="nil"/>
              <w:bottom w:val="nil"/>
              <w:right w:val="nil"/>
            </w:tcBorders>
            <w:shd w:val="clear" w:color="auto" w:fill="auto"/>
            <w:noWrap/>
            <w:vAlign w:val="bottom"/>
            <w:hideMark/>
          </w:tcPr>
          <w:p w14:paraId="1E63E4D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2145" w:type="dxa"/>
            <w:gridSpan w:val="2"/>
            <w:tcBorders>
              <w:top w:val="nil"/>
              <w:left w:val="nil"/>
              <w:bottom w:val="nil"/>
              <w:right w:val="nil"/>
            </w:tcBorders>
            <w:shd w:val="clear" w:color="auto" w:fill="auto"/>
            <w:noWrap/>
            <w:vAlign w:val="bottom"/>
            <w:hideMark/>
          </w:tcPr>
          <w:p w14:paraId="794F7CF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72EE7BB9" w14:textId="77777777" w:rsidTr="000E49B7">
        <w:trPr>
          <w:trHeight w:val="345"/>
          <w:jc w:val="center"/>
        </w:trPr>
        <w:tc>
          <w:tcPr>
            <w:tcW w:w="3151" w:type="dxa"/>
            <w:tcBorders>
              <w:top w:val="nil"/>
              <w:left w:val="nil"/>
              <w:bottom w:val="double" w:sz="6" w:space="0" w:color="auto"/>
              <w:right w:val="nil"/>
            </w:tcBorders>
            <w:shd w:val="clear" w:color="auto" w:fill="auto"/>
            <w:noWrap/>
            <w:vAlign w:val="bottom"/>
            <w:hideMark/>
          </w:tcPr>
          <w:p w14:paraId="089AA59D"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State FE</w:t>
            </w:r>
          </w:p>
        </w:tc>
        <w:tc>
          <w:tcPr>
            <w:tcW w:w="2145" w:type="dxa"/>
            <w:gridSpan w:val="2"/>
            <w:tcBorders>
              <w:top w:val="nil"/>
              <w:left w:val="nil"/>
              <w:bottom w:val="double" w:sz="6" w:space="0" w:color="auto"/>
              <w:right w:val="nil"/>
            </w:tcBorders>
            <w:shd w:val="clear" w:color="auto" w:fill="auto"/>
            <w:noWrap/>
            <w:vAlign w:val="bottom"/>
            <w:hideMark/>
          </w:tcPr>
          <w:p w14:paraId="2FD021E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2145" w:type="dxa"/>
            <w:gridSpan w:val="2"/>
            <w:tcBorders>
              <w:top w:val="nil"/>
              <w:left w:val="nil"/>
              <w:bottom w:val="double" w:sz="6" w:space="0" w:color="auto"/>
              <w:right w:val="nil"/>
            </w:tcBorders>
            <w:shd w:val="clear" w:color="auto" w:fill="auto"/>
            <w:noWrap/>
            <w:vAlign w:val="bottom"/>
            <w:hideMark/>
          </w:tcPr>
          <w:p w14:paraId="5EB222D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143DDA6B" w14:textId="77777777" w:rsidTr="000E49B7">
        <w:trPr>
          <w:trHeight w:val="1110"/>
          <w:jc w:val="center"/>
        </w:trPr>
        <w:tc>
          <w:tcPr>
            <w:tcW w:w="7441" w:type="dxa"/>
            <w:gridSpan w:val="5"/>
            <w:tcBorders>
              <w:top w:val="double" w:sz="6" w:space="0" w:color="auto"/>
              <w:left w:val="nil"/>
              <w:bottom w:val="nil"/>
              <w:right w:val="nil"/>
            </w:tcBorders>
            <w:shd w:val="clear" w:color="auto" w:fill="auto"/>
            <w:hideMark/>
          </w:tcPr>
          <w:p w14:paraId="420D5334" w14:textId="77777777" w:rsidR="000E49B7" w:rsidRPr="000E49B7" w:rsidRDefault="000E49B7" w:rsidP="000E49B7">
            <w:pPr>
              <w:spacing w:after="0" w:line="240" w:lineRule="auto"/>
              <w:jc w:val="both"/>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t>Notes:</w:t>
            </w:r>
            <w:r w:rsidRPr="000E49B7">
              <w:rPr>
                <w:rFonts w:ascii="Times New Roman" w:eastAsia="Malgun Gothic" w:hAnsi="Times New Roman" w:cs="Times New Roman"/>
                <w:color w:val="000000"/>
                <w:sz w:val="20"/>
                <w:szCs w:val="20"/>
              </w:rPr>
              <w:t xml:space="preserve"> The dependent variable is the duration of experience in years. We use the specification based on Equation (1) to calculate estimates. Standard errors are clustered at the state level. * </w:t>
            </w:r>
            <w:proofErr w:type="gramStart"/>
            <w:r w:rsidRPr="000E49B7">
              <w:rPr>
                <w:rFonts w:ascii="Times New Roman" w:eastAsia="Malgun Gothic" w:hAnsi="Times New Roman" w:cs="Times New Roman"/>
                <w:color w:val="000000"/>
                <w:sz w:val="20"/>
                <w:szCs w:val="20"/>
              </w:rPr>
              <w:t>denotes</w:t>
            </w:r>
            <w:proofErr w:type="gramEnd"/>
            <w:r w:rsidRPr="000E49B7">
              <w:rPr>
                <w:rFonts w:ascii="Times New Roman" w:eastAsia="Malgun Gothic" w:hAnsi="Times New Roman" w:cs="Times New Roman"/>
                <w:color w:val="000000"/>
                <w:sz w:val="20"/>
                <w:szCs w:val="20"/>
              </w:rPr>
              <w:t xml:space="preserve"> significance at the ten percent level, ** denotes at the five percent level, and *** denotes at the one percent level.</w:t>
            </w:r>
          </w:p>
        </w:tc>
      </w:tr>
      <w:tr w:rsidR="000E49B7" w:rsidRPr="000E49B7" w14:paraId="04B1D7E5" w14:textId="77777777" w:rsidTr="000E49B7">
        <w:trPr>
          <w:trHeight w:val="345"/>
          <w:jc w:val="center"/>
        </w:trPr>
        <w:tc>
          <w:tcPr>
            <w:tcW w:w="7441" w:type="dxa"/>
            <w:gridSpan w:val="5"/>
            <w:tcBorders>
              <w:top w:val="nil"/>
              <w:left w:val="nil"/>
              <w:bottom w:val="double" w:sz="6" w:space="0" w:color="auto"/>
              <w:right w:val="nil"/>
            </w:tcBorders>
            <w:shd w:val="clear" w:color="auto" w:fill="auto"/>
            <w:noWrap/>
            <w:vAlign w:val="bottom"/>
            <w:hideMark/>
          </w:tcPr>
          <w:p w14:paraId="59614C1D"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Table A2: Expanding the Age Limit to 65 Years</w:t>
            </w:r>
          </w:p>
        </w:tc>
      </w:tr>
      <w:tr w:rsidR="000E49B7" w:rsidRPr="000E49B7" w14:paraId="12DD0D3B" w14:textId="77777777" w:rsidTr="000E49B7">
        <w:trPr>
          <w:trHeight w:val="345"/>
          <w:jc w:val="center"/>
        </w:trPr>
        <w:tc>
          <w:tcPr>
            <w:tcW w:w="3263" w:type="dxa"/>
            <w:gridSpan w:val="2"/>
            <w:tcBorders>
              <w:top w:val="nil"/>
              <w:left w:val="nil"/>
              <w:bottom w:val="nil"/>
              <w:right w:val="nil"/>
            </w:tcBorders>
            <w:shd w:val="clear" w:color="auto" w:fill="auto"/>
            <w:noWrap/>
            <w:vAlign w:val="bottom"/>
            <w:hideMark/>
          </w:tcPr>
          <w:p w14:paraId="35B41A20"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p>
        </w:tc>
        <w:tc>
          <w:tcPr>
            <w:tcW w:w="4178" w:type="dxa"/>
            <w:gridSpan w:val="3"/>
            <w:tcBorders>
              <w:top w:val="double" w:sz="6" w:space="0" w:color="auto"/>
              <w:left w:val="nil"/>
              <w:bottom w:val="nil"/>
              <w:right w:val="nil"/>
            </w:tcBorders>
            <w:shd w:val="clear" w:color="auto" w:fill="auto"/>
            <w:noWrap/>
            <w:vAlign w:val="bottom"/>
            <w:hideMark/>
          </w:tcPr>
          <w:p w14:paraId="595AFE5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Dep. Variable: </w:t>
            </w:r>
            <w:proofErr w:type="gramStart"/>
            <w:r w:rsidRPr="000E49B7">
              <w:rPr>
                <w:rFonts w:ascii="Times New Roman" w:eastAsia="Malgun Gothic" w:hAnsi="Times New Roman" w:cs="Times New Roman"/>
                <w:color w:val="000000"/>
                <w:sz w:val="24"/>
                <w:szCs w:val="24"/>
              </w:rPr>
              <w:t>ln(</w:t>
            </w:r>
            <w:proofErr w:type="gramEnd"/>
            <w:r w:rsidRPr="000E49B7">
              <w:rPr>
                <w:rFonts w:ascii="Times New Roman" w:eastAsia="Malgun Gothic" w:hAnsi="Times New Roman" w:cs="Times New Roman"/>
                <w:color w:val="000000"/>
                <w:sz w:val="24"/>
                <w:szCs w:val="24"/>
              </w:rPr>
              <w:t>Annual Earnings)</w:t>
            </w:r>
          </w:p>
        </w:tc>
      </w:tr>
      <w:tr w:rsidR="000E49B7" w:rsidRPr="000E49B7" w14:paraId="67FC8483" w14:textId="77777777" w:rsidTr="000E49B7">
        <w:trPr>
          <w:trHeight w:val="330"/>
          <w:jc w:val="center"/>
        </w:trPr>
        <w:tc>
          <w:tcPr>
            <w:tcW w:w="3263" w:type="dxa"/>
            <w:gridSpan w:val="2"/>
            <w:tcBorders>
              <w:top w:val="nil"/>
              <w:left w:val="nil"/>
              <w:bottom w:val="nil"/>
              <w:right w:val="nil"/>
            </w:tcBorders>
            <w:shd w:val="clear" w:color="auto" w:fill="auto"/>
            <w:noWrap/>
            <w:vAlign w:val="bottom"/>
            <w:hideMark/>
          </w:tcPr>
          <w:p w14:paraId="455142E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221" w:type="dxa"/>
            <w:gridSpan w:val="2"/>
            <w:tcBorders>
              <w:top w:val="nil"/>
              <w:left w:val="nil"/>
              <w:bottom w:val="nil"/>
              <w:right w:val="nil"/>
            </w:tcBorders>
            <w:shd w:val="clear" w:color="auto" w:fill="auto"/>
            <w:noWrap/>
            <w:vAlign w:val="bottom"/>
            <w:hideMark/>
          </w:tcPr>
          <w:p w14:paraId="5981B4F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Women</w:t>
            </w:r>
          </w:p>
        </w:tc>
        <w:tc>
          <w:tcPr>
            <w:tcW w:w="1957" w:type="dxa"/>
            <w:tcBorders>
              <w:top w:val="nil"/>
              <w:left w:val="nil"/>
              <w:bottom w:val="nil"/>
              <w:right w:val="nil"/>
            </w:tcBorders>
            <w:shd w:val="clear" w:color="auto" w:fill="auto"/>
            <w:noWrap/>
            <w:vAlign w:val="bottom"/>
            <w:hideMark/>
          </w:tcPr>
          <w:p w14:paraId="6009833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Men</w:t>
            </w:r>
          </w:p>
        </w:tc>
      </w:tr>
      <w:tr w:rsidR="000E49B7" w:rsidRPr="000E49B7" w14:paraId="1343DE86" w14:textId="77777777" w:rsidTr="000E49B7">
        <w:trPr>
          <w:trHeight w:val="330"/>
          <w:jc w:val="center"/>
        </w:trPr>
        <w:tc>
          <w:tcPr>
            <w:tcW w:w="3263" w:type="dxa"/>
            <w:gridSpan w:val="2"/>
            <w:tcBorders>
              <w:top w:val="nil"/>
              <w:left w:val="nil"/>
              <w:bottom w:val="single" w:sz="4" w:space="0" w:color="auto"/>
              <w:right w:val="nil"/>
            </w:tcBorders>
            <w:shd w:val="clear" w:color="auto" w:fill="auto"/>
            <w:noWrap/>
            <w:vAlign w:val="bottom"/>
            <w:hideMark/>
          </w:tcPr>
          <w:p w14:paraId="5D748F1F"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2221" w:type="dxa"/>
            <w:gridSpan w:val="2"/>
            <w:tcBorders>
              <w:top w:val="nil"/>
              <w:left w:val="nil"/>
              <w:bottom w:val="single" w:sz="4" w:space="0" w:color="auto"/>
              <w:right w:val="nil"/>
            </w:tcBorders>
            <w:shd w:val="clear" w:color="auto" w:fill="auto"/>
            <w:noWrap/>
            <w:vAlign w:val="bottom"/>
            <w:hideMark/>
          </w:tcPr>
          <w:p w14:paraId="5BA389E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w:t>
            </w:r>
          </w:p>
        </w:tc>
        <w:tc>
          <w:tcPr>
            <w:tcW w:w="1957" w:type="dxa"/>
            <w:tcBorders>
              <w:top w:val="nil"/>
              <w:left w:val="nil"/>
              <w:bottom w:val="single" w:sz="4" w:space="0" w:color="auto"/>
              <w:right w:val="nil"/>
            </w:tcBorders>
            <w:shd w:val="clear" w:color="auto" w:fill="auto"/>
            <w:noWrap/>
            <w:vAlign w:val="bottom"/>
            <w:hideMark/>
          </w:tcPr>
          <w:p w14:paraId="2BEF37F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w:t>
            </w:r>
          </w:p>
        </w:tc>
      </w:tr>
      <w:tr w:rsidR="000E49B7" w:rsidRPr="000E49B7" w14:paraId="4EC6FDE7" w14:textId="77777777" w:rsidTr="000E49B7">
        <w:trPr>
          <w:trHeight w:val="330"/>
          <w:jc w:val="center"/>
        </w:trPr>
        <w:tc>
          <w:tcPr>
            <w:tcW w:w="3263" w:type="dxa"/>
            <w:gridSpan w:val="2"/>
            <w:tcBorders>
              <w:top w:val="nil"/>
              <w:left w:val="nil"/>
              <w:bottom w:val="nil"/>
              <w:right w:val="nil"/>
            </w:tcBorders>
            <w:shd w:val="clear" w:color="auto" w:fill="auto"/>
            <w:noWrap/>
            <w:vAlign w:val="bottom"/>
            <w:hideMark/>
          </w:tcPr>
          <w:p w14:paraId="2DBC6697"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STEM*CB</w:t>
            </w:r>
          </w:p>
        </w:tc>
        <w:tc>
          <w:tcPr>
            <w:tcW w:w="2221" w:type="dxa"/>
            <w:gridSpan w:val="2"/>
            <w:tcBorders>
              <w:top w:val="nil"/>
              <w:left w:val="nil"/>
              <w:bottom w:val="nil"/>
              <w:right w:val="nil"/>
            </w:tcBorders>
            <w:shd w:val="clear" w:color="auto" w:fill="auto"/>
            <w:noWrap/>
            <w:vAlign w:val="bottom"/>
            <w:hideMark/>
          </w:tcPr>
          <w:p w14:paraId="2FB8734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0.054**</w:t>
            </w:r>
          </w:p>
        </w:tc>
        <w:tc>
          <w:tcPr>
            <w:tcW w:w="1957" w:type="dxa"/>
            <w:tcBorders>
              <w:top w:val="nil"/>
              <w:left w:val="nil"/>
              <w:bottom w:val="nil"/>
              <w:right w:val="nil"/>
            </w:tcBorders>
            <w:shd w:val="clear" w:color="auto" w:fill="auto"/>
            <w:noWrap/>
            <w:vAlign w:val="bottom"/>
            <w:hideMark/>
          </w:tcPr>
          <w:p w14:paraId="522ACB5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0.033</w:t>
            </w:r>
          </w:p>
        </w:tc>
      </w:tr>
      <w:tr w:rsidR="000E49B7" w:rsidRPr="000E49B7" w14:paraId="1F345575" w14:textId="77777777" w:rsidTr="000E49B7">
        <w:trPr>
          <w:trHeight w:val="330"/>
          <w:jc w:val="center"/>
        </w:trPr>
        <w:tc>
          <w:tcPr>
            <w:tcW w:w="3263" w:type="dxa"/>
            <w:gridSpan w:val="2"/>
            <w:tcBorders>
              <w:top w:val="nil"/>
              <w:left w:val="nil"/>
              <w:bottom w:val="nil"/>
              <w:right w:val="nil"/>
            </w:tcBorders>
            <w:shd w:val="clear" w:color="auto" w:fill="auto"/>
            <w:noWrap/>
            <w:vAlign w:val="bottom"/>
            <w:hideMark/>
          </w:tcPr>
          <w:p w14:paraId="43075D1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221" w:type="dxa"/>
            <w:gridSpan w:val="2"/>
            <w:tcBorders>
              <w:top w:val="nil"/>
              <w:left w:val="nil"/>
              <w:bottom w:val="nil"/>
              <w:right w:val="nil"/>
            </w:tcBorders>
            <w:shd w:val="clear" w:color="auto" w:fill="auto"/>
            <w:noWrap/>
            <w:vAlign w:val="bottom"/>
            <w:hideMark/>
          </w:tcPr>
          <w:p w14:paraId="0C8AEA7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(0.022)</w:t>
            </w:r>
          </w:p>
        </w:tc>
        <w:tc>
          <w:tcPr>
            <w:tcW w:w="1957" w:type="dxa"/>
            <w:tcBorders>
              <w:top w:val="nil"/>
              <w:left w:val="nil"/>
              <w:bottom w:val="nil"/>
              <w:right w:val="nil"/>
            </w:tcBorders>
            <w:shd w:val="clear" w:color="auto" w:fill="auto"/>
            <w:noWrap/>
            <w:vAlign w:val="bottom"/>
            <w:hideMark/>
          </w:tcPr>
          <w:p w14:paraId="48527A8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(0.023)</w:t>
            </w:r>
          </w:p>
        </w:tc>
      </w:tr>
      <w:tr w:rsidR="000E49B7" w:rsidRPr="000E49B7" w14:paraId="3566E217" w14:textId="77777777" w:rsidTr="000E49B7">
        <w:trPr>
          <w:trHeight w:val="330"/>
          <w:jc w:val="center"/>
        </w:trPr>
        <w:tc>
          <w:tcPr>
            <w:tcW w:w="3263" w:type="dxa"/>
            <w:gridSpan w:val="2"/>
            <w:tcBorders>
              <w:top w:val="nil"/>
              <w:left w:val="nil"/>
              <w:bottom w:val="nil"/>
              <w:right w:val="nil"/>
            </w:tcBorders>
            <w:shd w:val="clear" w:color="auto" w:fill="auto"/>
            <w:noWrap/>
            <w:vAlign w:val="bottom"/>
            <w:hideMark/>
          </w:tcPr>
          <w:p w14:paraId="35BF2200"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
        </w:tc>
        <w:tc>
          <w:tcPr>
            <w:tcW w:w="2221" w:type="dxa"/>
            <w:gridSpan w:val="2"/>
            <w:tcBorders>
              <w:top w:val="nil"/>
              <w:left w:val="nil"/>
              <w:bottom w:val="nil"/>
              <w:right w:val="nil"/>
            </w:tcBorders>
            <w:shd w:val="clear" w:color="auto" w:fill="auto"/>
            <w:noWrap/>
            <w:vAlign w:val="bottom"/>
            <w:hideMark/>
          </w:tcPr>
          <w:p w14:paraId="0088323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-0.100***</w:t>
            </w:r>
          </w:p>
        </w:tc>
        <w:tc>
          <w:tcPr>
            <w:tcW w:w="1957" w:type="dxa"/>
            <w:tcBorders>
              <w:top w:val="nil"/>
              <w:left w:val="nil"/>
              <w:bottom w:val="nil"/>
              <w:right w:val="nil"/>
            </w:tcBorders>
            <w:shd w:val="clear" w:color="auto" w:fill="auto"/>
            <w:noWrap/>
            <w:vAlign w:val="bottom"/>
            <w:hideMark/>
          </w:tcPr>
          <w:p w14:paraId="03FA53A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-0.043**</w:t>
            </w:r>
          </w:p>
        </w:tc>
      </w:tr>
      <w:tr w:rsidR="000E49B7" w:rsidRPr="000E49B7" w14:paraId="06AC980D" w14:textId="77777777" w:rsidTr="000E49B7">
        <w:trPr>
          <w:trHeight w:val="330"/>
          <w:jc w:val="center"/>
        </w:trPr>
        <w:tc>
          <w:tcPr>
            <w:tcW w:w="3263" w:type="dxa"/>
            <w:gridSpan w:val="2"/>
            <w:tcBorders>
              <w:top w:val="nil"/>
              <w:left w:val="nil"/>
              <w:bottom w:val="nil"/>
              <w:right w:val="nil"/>
            </w:tcBorders>
            <w:shd w:val="clear" w:color="auto" w:fill="auto"/>
            <w:noWrap/>
            <w:vAlign w:val="bottom"/>
            <w:hideMark/>
          </w:tcPr>
          <w:p w14:paraId="46FC5DD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221" w:type="dxa"/>
            <w:gridSpan w:val="2"/>
            <w:tcBorders>
              <w:top w:val="nil"/>
              <w:left w:val="nil"/>
              <w:bottom w:val="nil"/>
              <w:right w:val="nil"/>
            </w:tcBorders>
            <w:shd w:val="clear" w:color="auto" w:fill="auto"/>
            <w:noWrap/>
            <w:vAlign w:val="bottom"/>
            <w:hideMark/>
          </w:tcPr>
          <w:p w14:paraId="5AA8AE4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(0.017)</w:t>
            </w:r>
          </w:p>
        </w:tc>
        <w:tc>
          <w:tcPr>
            <w:tcW w:w="1957" w:type="dxa"/>
            <w:tcBorders>
              <w:top w:val="nil"/>
              <w:left w:val="nil"/>
              <w:bottom w:val="nil"/>
              <w:right w:val="nil"/>
            </w:tcBorders>
            <w:shd w:val="clear" w:color="auto" w:fill="auto"/>
            <w:noWrap/>
            <w:vAlign w:val="bottom"/>
            <w:hideMark/>
          </w:tcPr>
          <w:p w14:paraId="143314A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(0.018)</w:t>
            </w:r>
          </w:p>
        </w:tc>
      </w:tr>
      <w:tr w:rsidR="000E49B7" w:rsidRPr="000E49B7" w14:paraId="439FADD2" w14:textId="77777777" w:rsidTr="000E49B7">
        <w:trPr>
          <w:trHeight w:val="330"/>
          <w:jc w:val="center"/>
        </w:trPr>
        <w:tc>
          <w:tcPr>
            <w:tcW w:w="3263" w:type="dxa"/>
            <w:gridSpan w:val="2"/>
            <w:tcBorders>
              <w:top w:val="nil"/>
              <w:left w:val="nil"/>
              <w:bottom w:val="nil"/>
              <w:right w:val="nil"/>
            </w:tcBorders>
            <w:shd w:val="clear" w:color="auto" w:fill="auto"/>
            <w:noWrap/>
            <w:vAlign w:val="bottom"/>
            <w:hideMark/>
          </w:tcPr>
          <w:p w14:paraId="2651D97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221" w:type="dxa"/>
            <w:gridSpan w:val="2"/>
            <w:tcBorders>
              <w:top w:val="nil"/>
              <w:left w:val="nil"/>
              <w:bottom w:val="nil"/>
              <w:right w:val="nil"/>
            </w:tcBorders>
            <w:shd w:val="clear" w:color="auto" w:fill="auto"/>
            <w:noWrap/>
            <w:vAlign w:val="bottom"/>
            <w:hideMark/>
          </w:tcPr>
          <w:p w14:paraId="2D110459"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957" w:type="dxa"/>
            <w:tcBorders>
              <w:top w:val="nil"/>
              <w:left w:val="nil"/>
              <w:bottom w:val="nil"/>
              <w:right w:val="nil"/>
            </w:tcBorders>
            <w:shd w:val="clear" w:color="auto" w:fill="auto"/>
            <w:noWrap/>
            <w:vAlign w:val="bottom"/>
            <w:hideMark/>
          </w:tcPr>
          <w:p w14:paraId="00E09ACF"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r>
      <w:tr w:rsidR="000E49B7" w:rsidRPr="000E49B7" w14:paraId="75F2DFB4" w14:textId="77777777" w:rsidTr="000E49B7">
        <w:trPr>
          <w:trHeight w:val="345"/>
          <w:jc w:val="center"/>
        </w:trPr>
        <w:tc>
          <w:tcPr>
            <w:tcW w:w="3263" w:type="dxa"/>
            <w:gridSpan w:val="2"/>
            <w:tcBorders>
              <w:top w:val="nil"/>
              <w:left w:val="nil"/>
              <w:bottom w:val="double" w:sz="6" w:space="0" w:color="auto"/>
              <w:right w:val="nil"/>
            </w:tcBorders>
            <w:shd w:val="clear" w:color="auto" w:fill="auto"/>
            <w:noWrap/>
            <w:vAlign w:val="bottom"/>
            <w:hideMark/>
          </w:tcPr>
          <w:p w14:paraId="5FDC3B16"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2221" w:type="dxa"/>
            <w:gridSpan w:val="2"/>
            <w:tcBorders>
              <w:top w:val="nil"/>
              <w:left w:val="nil"/>
              <w:bottom w:val="double" w:sz="6" w:space="0" w:color="auto"/>
              <w:right w:val="nil"/>
            </w:tcBorders>
            <w:shd w:val="clear" w:color="auto" w:fill="auto"/>
            <w:noWrap/>
            <w:vAlign w:val="bottom"/>
            <w:hideMark/>
          </w:tcPr>
          <w:p w14:paraId="1ED3B29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405,074</w:t>
            </w:r>
          </w:p>
        </w:tc>
        <w:tc>
          <w:tcPr>
            <w:tcW w:w="1957" w:type="dxa"/>
            <w:tcBorders>
              <w:top w:val="nil"/>
              <w:left w:val="nil"/>
              <w:bottom w:val="double" w:sz="6" w:space="0" w:color="auto"/>
              <w:right w:val="nil"/>
            </w:tcBorders>
            <w:shd w:val="clear" w:color="auto" w:fill="auto"/>
            <w:noWrap/>
            <w:vAlign w:val="bottom"/>
            <w:hideMark/>
          </w:tcPr>
          <w:p w14:paraId="3A76ADB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125,793</w:t>
            </w:r>
          </w:p>
        </w:tc>
      </w:tr>
      <w:tr w:rsidR="000E49B7" w:rsidRPr="000E49B7" w14:paraId="738713C1" w14:textId="77777777" w:rsidTr="000E49B7">
        <w:trPr>
          <w:trHeight w:val="345"/>
          <w:jc w:val="center"/>
        </w:trPr>
        <w:tc>
          <w:tcPr>
            <w:tcW w:w="3263" w:type="dxa"/>
            <w:gridSpan w:val="2"/>
            <w:tcBorders>
              <w:top w:val="nil"/>
              <w:left w:val="nil"/>
              <w:bottom w:val="nil"/>
              <w:right w:val="nil"/>
            </w:tcBorders>
            <w:shd w:val="clear" w:color="auto" w:fill="auto"/>
            <w:noWrap/>
            <w:vAlign w:val="bottom"/>
            <w:hideMark/>
          </w:tcPr>
          <w:p w14:paraId="017CEC43"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Indiv</w:t>
            </w:r>
            <w:proofErr w:type="spellEnd"/>
            <w:r w:rsidRPr="000E49B7">
              <w:rPr>
                <w:rFonts w:ascii="Times New Roman" w:eastAsia="Malgun Gothic" w:hAnsi="Times New Roman" w:cs="Times New Roman"/>
                <w:color w:val="000000"/>
                <w:sz w:val="24"/>
                <w:szCs w:val="24"/>
              </w:rPr>
              <w:t>. Controls</w:t>
            </w:r>
          </w:p>
        </w:tc>
        <w:tc>
          <w:tcPr>
            <w:tcW w:w="2221" w:type="dxa"/>
            <w:gridSpan w:val="2"/>
            <w:tcBorders>
              <w:top w:val="nil"/>
              <w:left w:val="nil"/>
              <w:bottom w:val="nil"/>
              <w:right w:val="nil"/>
            </w:tcBorders>
            <w:shd w:val="clear" w:color="auto" w:fill="auto"/>
            <w:noWrap/>
            <w:vAlign w:val="bottom"/>
            <w:hideMark/>
          </w:tcPr>
          <w:p w14:paraId="3080812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957" w:type="dxa"/>
            <w:tcBorders>
              <w:top w:val="nil"/>
              <w:left w:val="nil"/>
              <w:bottom w:val="nil"/>
              <w:right w:val="nil"/>
            </w:tcBorders>
            <w:shd w:val="clear" w:color="auto" w:fill="auto"/>
            <w:noWrap/>
            <w:vAlign w:val="bottom"/>
            <w:hideMark/>
          </w:tcPr>
          <w:p w14:paraId="4CE7CBE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56836BD1" w14:textId="77777777" w:rsidTr="000E49B7">
        <w:trPr>
          <w:trHeight w:val="330"/>
          <w:jc w:val="center"/>
        </w:trPr>
        <w:tc>
          <w:tcPr>
            <w:tcW w:w="3263" w:type="dxa"/>
            <w:gridSpan w:val="2"/>
            <w:tcBorders>
              <w:top w:val="nil"/>
              <w:left w:val="nil"/>
              <w:bottom w:val="nil"/>
              <w:right w:val="nil"/>
            </w:tcBorders>
            <w:shd w:val="clear" w:color="auto" w:fill="auto"/>
            <w:noWrap/>
            <w:vAlign w:val="bottom"/>
            <w:hideMark/>
          </w:tcPr>
          <w:p w14:paraId="200DD4BE"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CZ×Year</w:t>
            </w:r>
            <w:proofErr w:type="spellEnd"/>
            <w:r w:rsidRPr="000E49B7">
              <w:rPr>
                <w:rFonts w:ascii="Times New Roman" w:eastAsia="Malgun Gothic" w:hAnsi="Times New Roman" w:cs="Times New Roman"/>
                <w:color w:val="000000"/>
                <w:sz w:val="24"/>
                <w:szCs w:val="24"/>
              </w:rPr>
              <w:t xml:space="preserve"> FE</w:t>
            </w:r>
          </w:p>
        </w:tc>
        <w:tc>
          <w:tcPr>
            <w:tcW w:w="2221" w:type="dxa"/>
            <w:gridSpan w:val="2"/>
            <w:tcBorders>
              <w:top w:val="nil"/>
              <w:left w:val="nil"/>
              <w:bottom w:val="nil"/>
              <w:right w:val="nil"/>
            </w:tcBorders>
            <w:shd w:val="clear" w:color="auto" w:fill="auto"/>
            <w:noWrap/>
            <w:vAlign w:val="bottom"/>
            <w:hideMark/>
          </w:tcPr>
          <w:p w14:paraId="4DA739C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957" w:type="dxa"/>
            <w:tcBorders>
              <w:top w:val="nil"/>
              <w:left w:val="nil"/>
              <w:bottom w:val="nil"/>
              <w:right w:val="nil"/>
            </w:tcBorders>
            <w:shd w:val="clear" w:color="auto" w:fill="auto"/>
            <w:noWrap/>
            <w:vAlign w:val="bottom"/>
            <w:hideMark/>
          </w:tcPr>
          <w:p w14:paraId="2360E02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691BD7E5" w14:textId="77777777" w:rsidTr="000E49B7">
        <w:trPr>
          <w:trHeight w:val="345"/>
          <w:jc w:val="center"/>
        </w:trPr>
        <w:tc>
          <w:tcPr>
            <w:tcW w:w="3263" w:type="dxa"/>
            <w:gridSpan w:val="2"/>
            <w:tcBorders>
              <w:top w:val="nil"/>
              <w:left w:val="nil"/>
              <w:bottom w:val="double" w:sz="6" w:space="0" w:color="auto"/>
              <w:right w:val="nil"/>
            </w:tcBorders>
            <w:shd w:val="clear" w:color="auto" w:fill="auto"/>
            <w:noWrap/>
            <w:vAlign w:val="bottom"/>
            <w:hideMark/>
          </w:tcPr>
          <w:p w14:paraId="0ACC073F"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State FE</w:t>
            </w:r>
          </w:p>
        </w:tc>
        <w:tc>
          <w:tcPr>
            <w:tcW w:w="2221" w:type="dxa"/>
            <w:gridSpan w:val="2"/>
            <w:tcBorders>
              <w:top w:val="nil"/>
              <w:left w:val="nil"/>
              <w:bottom w:val="double" w:sz="6" w:space="0" w:color="auto"/>
              <w:right w:val="nil"/>
            </w:tcBorders>
            <w:shd w:val="clear" w:color="auto" w:fill="auto"/>
            <w:noWrap/>
            <w:vAlign w:val="bottom"/>
            <w:hideMark/>
          </w:tcPr>
          <w:p w14:paraId="503EB8F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957" w:type="dxa"/>
            <w:tcBorders>
              <w:top w:val="nil"/>
              <w:left w:val="nil"/>
              <w:bottom w:val="double" w:sz="6" w:space="0" w:color="auto"/>
              <w:right w:val="nil"/>
            </w:tcBorders>
            <w:shd w:val="clear" w:color="auto" w:fill="auto"/>
            <w:noWrap/>
            <w:vAlign w:val="bottom"/>
            <w:hideMark/>
          </w:tcPr>
          <w:p w14:paraId="114A43E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7E9B93DA" w14:textId="77777777" w:rsidTr="000E49B7">
        <w:trPr>
          <w:trHeight w:val="1350"/>
          <w:jc w:val="center"/>
        </w:trPr>
        <w:tc>
          <w:tcPr>
            <w:tcW w:w="7441" w:type="dxa"/>
            <w:gridSpan w:val="5"/>
            <w:tcBorders>
              <w:top w:val="double" w:sz="6" w:space="0" w:color="auto"/>
              <w:left w:val="nil"/>
              <w:bottom w:val="nil"/>
              <w:right w:val="nil"/>
            </w:tcBorders>
            <w:shd w:val="clear" w:color="auto" w:fill="auto"/>
            <w:hideMark/>
          </w:tcPr>
          <w:p w14:paraId="6C366A5E" w14:textId="6BAE5B95" w:rsidR="000E49B7" w:rsidRPr="000E49B7" w:rsidRDefault="000E49B7" w:rsidP="000E49B7">
            <w:pPr>
              <w:spacing w:after="0" w:line="240" w:lineRule="auto"/>
              <w:jc w:val="both"/>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t xml:space="preserve">Notes: </w:t>
            </w:r>
            <w:r w:rsidRPr="000E49B7">
              <w:rPr>
                <w:rFonts w:ascii="Times New Roman" w:eastAsia="Malgun Gothic" w:hAnsi="Times New Roman" w:cs="Times New Roman"/>
                <w:color w:val="000000"/>
                <w:sz w:val="20"/>
                <w:szCs w:val="20"/>
              </w:rPr>
              <w:t xml:space="preserve">The </w:t>
            </w:r>
            <w:r>
              <w:rPr>
                <w:rFonts w:ascii="Times New Roman" w:eastAsia="Malgun Gothic" w:hAnsi="Times New Roman" w:cs="Times New Roman"/>
                <w:color w:val="000000"/>
                <w:sz w:val="20"/>
                <w:szCs w:val="20"/>
              </w:rPr>
              <w:t>d</w:t>
            </w:r>
            <w:r w:rsidRPr="000E49B7">
              <w:rPr>
                <w:rFonts w:ascii="Times New Roman" w:eastAsia="Malgun Gothic" w:hAnsi="Times New Roman" w:cs="Times New Roman"/>
                <w:color w:val="000000"/>
                <w:sz w:val="20"/>
                <w:szCs w:val="20"/>
              </w:rPr>
              <w:t xml:space="preserve">ependent variable is the log of annual earnings. Estimates are based on Equation (1). In this analysis, we expand our sample to include individuals aged 25 to 65 years. Standard errors are clustered at the state level. Standard errors are clustered at the state level. * </w:t>
            </w:r>
            <w:proofErr w:type="gramStart"/>
            <w:r w:rsidRPr="000E49B7">
              <w:rPr>
                <w:rFonts w:ascii="Times New Roman" w:eastAsia="Malgun Gothic" w:hAnsi="Times New Roman" w:cs="Times New Roman"/>
                <w:color w:val="000000"/>
                <w:sz w:val="20"/>
                <w:szCs w:val="20"/>
              </w:rPr>
              <w:t>denotes</w:t>
            </w:r>
            <w:proofErr w:type="gramEnd"/>
            <w:r w:rsidRPr="000E49B7">
              <w:rPr>
                <w:rFonts w:ascii="Times New Roman" w:eastAsia="Malgun Gothic" w:hAnsi="Times New Roman" w:cs="Times New Roman"/>
                <w:color w:val="000000"/>
                <w:sz w:val="20"/>
                <w:szCs w:val="20"/>
              </w:rPr>
              <w:t xml:space="preserve"> significance at the ten percent level, ** denotes at the five percent level, and *** denotes at the one percent level.</w:t>
            </w:r>
          </w:p>
        </w:tc>
      </w:tr>
    </w:tbl>
    <w:p w14:paraId="7ADD2E53" w14:textId="3A52AC31" w:rsidR="000E49B7" w:rsidRDefault="000E49B7" w:rsidP="000E49B7">
      <w:pPr>
        <w:widowControl w:val="0"/>
        <w:autoSpaceDE w:val="0"/>
        <w:autoSpaceDN w:val="0"/>
        <w:adjustRightInd w:val="0"/>
        <w:spacing w:line="240" w:lineRule="auto"/>
        <w:jc w:val="both"/>
        <w:rPr>
          <w:rFonts w:ascii="Times New Roman" w:eastAsia="CMR10" w:hAnsi="Times New Roman" w:cs="Times New Roman"/>
          <w:sz w:val="24"/>
          <w:szCs w:val="24"/>
          <w14:ligatures w14:val="standardContextual"/>
        </w:rPr>
      </w:pPr>
    </w:p>
    <w:p w14:paraId="10A4A6E6" w14:textId="77777777" w:rsidR="000E49B7" w:rsidRDefault="000E49B7">
      <w:pPr>
        <w:jc w:val="both"/>
        <w:rPr>
          <w:rFonts w:ascii="Times New Roman" w:eastAsia="CMR10" w:hAnsi="Times New Roman" w:cs="Times New Roman"/>
          <w:sz w:val="24"/>
          <w:szCs w:val="24"/>
          <w14:ligatures w14:val="standardContextual"/>
        </w:rPr>
      </w:pPr>
      <w:r>
        <w:rPr>
          <w:rFonts w:ascii="Times New Roman" w:eastAsia="CMR10" w:hAnsi="Times New Roman" w:cs="Times New Roman"/>
          <w:sz w:val="24"/>
          <w:szCs w:val="24"/>
          <w14:ligatures w14:val="standardContextual"/>
        </w:rPr>
        <w:br w:type="page"/>
      </w:r>
    </w:p>
    <w:tbl>
      <w:tblPr>
        <w:tblW w:w="7441" w:type="dxa"/>
        <w:jc w:val="center"/>
        <w:tblCellMar>
          <w:left w:w="99" w:type="dxa"/>
          <w:right w:w="99" w:type="dxa"/>
        </w:tblCellMar>
        <w:tblLook w:val="04A0" w:firstRow="1" w:lastRow="0" w:firstColumn="1" w:lastColumn="0" w:noHBand="0" w:noVBand="1"/>
      </w:tblPr>
      <w:tblGrid>
        <w:gridCol w:w="3151"/>
        <w:gridCol w:w="2145"/>
        <w:gridCol w:w="2145"/>
      </w:tblGrid>
      <w:tr w:rsidR="000E49B7" w:rsidRPr="000E49B7" w14:paraId="3BE0F6FA" w14:textId="77777777" w:rsidTr="000E49B7">
        <w:trPr>
          <w:trHeight w:val="345"/>
          <w:jc w:val="center"/>
        </w:trPr>
        <w:tc>
          <w:tcPr>
            <w:tcW w:w="7441" w:type="dxa"/>
            <w:gridSpan w:val="3"/>
            <w:tcBorders>
              <w:top w:val="nil"/>
              <w:left w:val="nil"/>
              <w:bottom w:val="double" w:sz="6" w:space="0" w:color="auto"/>
              <w:right w:val="nil"/>
            </w:tcBorders>
            <w:shd w:val="clear" w:color="auto" w:fill="auto"/>
            <w:noWrap/>
            <w:vAlign w:val="bottom"/>
            <w:hideMark/>
          </w:tcPr>
          <w:p w14:paraId="56ACBD24"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lastRenderedPageBreak/>
              <w:t>Table A3: Including Kindergarten and Earlier School Teachers</w:t>
            </w:r>
          </w:p>
        </w:tc>
      </w:tr>
      <w:tr w:rsidR="000E49B7" w:rsidRPr="000E49B7" w14:paraId="785D53F1" w14:textId="77777777" w:rsidTr="000E49B7">
        <w:trPr>
          <w:trHeight w:val="345"/>
          <w:jc w:val="center"/>
        </w:trPr>
        <w:tc>
          <w:tcPr>
            <w:tcW w:w="3151" w:type="dxa"/>
            <w:tcBorders>
              <w:top w:val="nil"/>
              <w:left w:val="nil"/>
              <w:bottom w:val="nil"/>
              <w:right w:val="nil"/>
            </w:tcBorders>
            <w:shd w:val="clear" w:color="auto" w:fill="auto"/>
            <w:noWrap/>
            <w:vAlign w:val="bottom"/>
            <w:hideMark/>
          </w:tcPr>
          <w:p w14:paraId="406FBA0C"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p>
        </w:tc>
        <w:tc>
          <w:tcPr>
            <w:tcW w:w="4290" w:type="dxa"/>
            <w:gridSpan w:val="2"/>
            <w:tcBorders>
              <w:top w:val="double" w:sz="6" w:space="0" w:color="auto"/>
              <w:left w:val="nil"/>
              <w:bottom w:val="nil"/>
              <w:right w:val="nil"/>
            </w:tcBorders>
            <w:shd w:val="clear" w:color="auto" w:fill="auto"/>
            <w:noWrap/>
            <w:vAlign w:val="bottom"/>
            <w:hideMark/>
          </w:tcPr>
          <w:p w14:paraId="19414769" w14:textId="3B7AC7CF"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Dep. Variable: ln</w:t>
            </w:r>
            <w:r>
              <w:rPr>
                <w:rFonts w:ascii="Times New Roman" w:eastAsia="Malgun Gothic" w:hAnsi="Times New Roman" w:cs="Times New Roman"/>
                <w:color w:val="000000"/>
                <w:sz w:val="24"/>
                <w:szCs w:val="24"/>
              </w:rPr>
              <w:t xml:space="preserve"> </w:t>
            </w:r>
            <w:r w:rsidRPr="000E49B7">
              <w:rPr>
                <w:rFonts w:ascii="Times New Roman" w:eastAsia="Malgun Gothic" w:hAnsi="Times New Roman" w:cs="Times New Roman"/>
                <w:color w:val="000000"/>
                <w:sz w:val="24"/>
                <w:szCs w:val="24"/>
              </w:rPr>
              <w:t>(Annual Earnings)</w:t>
            </w:r>
          </w:p>
        </w:tc>
      </w:tr>
      <w:tr w:rsidR="000E49B7" w:rsidRPr="000E49B7" w14:paraId="32C37E3A"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2F6A4BB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145" w:type="dxa"/>
            <w:tcBorders>
              <w:top w:val="nil"/>
              <w:left w:val="nil"/>
              <w:bottom w:val="nil"/>
              <w:right w:val="nil"/>
            </w:tcBorders>
            <w:shd w:val="clear" w:color="auto" w:fill="auto"/>
            <w:noWrap/>
            <w:vAlign w:val="bottom"/>
            <w:hideMark/>
          </w:tcPr>
          <w:p w14:paraId="1BE7C5C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Women</w:t>
            </w:r>
          </w:p>
        </w:tc>
        <w:tc>
          <w:tcPr>
            <w:tcW w:w="2145" w:type="dxa"/>
            <w:tcBorders>
              <w:top w:val="nil"/>
              <w:left w:val="nil"/>
              <w:bottom w:val="nil"/>
              <w:right w:val="nil"/>
            </w:tcBorders>
            <w:shd w:val="clear" w:color="auto" w:fill="auto"/>
            <w:noWrap/>
            <w:vAlign w:val="bottom"/>
            <w:hideMark/>
          </w:tcPr>
          <w:p w14:paraId="259A7D3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Men</w:t>
            </w:r>
          </w:p>
        </w:tc>
      </w:tr>
      <w:tr w:rsidR="000E49B7" w:rsidRPr="000E49B7" w14:paraId="17113217" w14:textId="77777777" w:rsidTr="000E49B7">
        <w:trPr>
          <w:trHeight w:val="330"/>
          <w:jc w:val="center"/>
        </w:trPr>
        <w:tc>
          <w:tcPr>
            <w:tcW w:w="3151" w:type="dxa"/>
            <w:tcBorders>
              <w:top w:val="nil"/>
              <w:left w:val="nil"/>
              <w:bottom w:val="single" w:sz="4" w:space="0" w:color="auto"/>
              <w:right w:val="nil"/>
            </w:tcBorders>
            <w:shd w:val="clear" w:color="auto" w:fill="auto"/>
            <w:noWrap/>
            <w:vAlign w:val="bottom"/>
            <w:hideMark/>
          </w:tcPr>
          <w:p w14:paraId="10CE5496"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2145" w:type="dxa"/>
            <w:tcBorders>
              <w:top w:val="nil"/>
              <w:left w:val="nil"/>
              <w:bottom w:val="single" w:sz="4" w:space="0" w:color="auto"/>
              <w:right w:val="nil"/>
            </w:tcBorders>
            <w:shd w:val="clear" w:color="auto" w:fill="auto"/>
            <w:noWrap/>
            <w:vAlign w:val="bottom"/>
            <w:hideMark/>
          </w:tcPr>
          <w:p w14:paraId="568FA5F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w:t>
            </w:r>
          </w:p>
        </w:tc>
        <w:tc>
          <w:tcPr>
            <w:tcW w:w="2145" w:type="dxa"/>
            <w:tcBorders>
              <w:top w:val="nil"/>
              <w:left w:val="nil"/>
              <w:bottom w:val="single" w:sz="4" w:space="0" w:color="auto"/>
              <w:right w:val="nil"/>
            </w:tcBorders>
            <w:shd w:val="clear" w:color="auto" w:fill="auto"/>
            <w:noWrap/>
            <w:vAlign w:val="bottom"/>
            <w:hideMark/>
          </w:tcPr>
          <w:p w14:paraId="5FDF5D7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w:t>
            </w:r>
          </w:p>
        </w:tc>
      </w:tr>
      <w:tr w:rsidR="000E49B7" w:rsidRPr="000E49B7" w14:paraId="0954D0E8"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09BB5501"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STEM*CB</w:t>
            </w:r>
          </w:p>
        </w:tc>
        <w:tc>
          <w:tcPr>
            <w:tcW w:w="2145" w:type="dxa"/>
            <w:tcBorders>
              <w:top w:val="nil"/>
              <w:left w:val="nil"/>
              <w:bottom w:val="nil"/>
              <w:right w:val="nil"/>
            </w:tcBorders>
            <w:shd w:val="clear" w:color="auto" w:fill="auto"/>
            <w:noWrap/>
            <w:vAlign w:val="bottom"/>
            <w:hideMark/>
          </w:tcPr>
          <w:p w14:paraId="72B8C72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0.083***</w:t>
            </w:r>
          </w:p>
        </w:tc>
        <w:tc>
          <w:tcPr>
            <w:tcW w:w="2145" w:type="dxa"/>
            <w:tcBorders>
              <w:top w:val="nil"/>
              <w:left w:val="nil"/>
              <w:bottom w:val="nil"/>
              <w:right w:val="nil"/>
            </w:tcBorders>
            <w:shd w:val="clear" w:color="auto" w:fill="auto"/>
            <w:noWrap/>
            <w:vAlign w:val="bottom"/>
            <w:hideMark/>
          </w:tcPr>
          <w:p w14:paraId="35BC069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0.025</w:t>
            </w:r>
          </w:p>
        </w:tc>
      </w:tr>
      <w:tr w:rsidR="000E49B7" w:rsidRPr="000E49B7" w14:paraId="43EBBF50"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15DEFAC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145" w:type="dxa"/>
            <w:tcBorders>
              <w:top w:val="nil"/>
              <w:left w:val="nil"/>
              <w:bottom w:val="nil"/>
              <w:right w:val="nil"/>
            </w:tcBorders>
            <w:shd w:val="clear" w:color="auto" w:fill="auto"/>
            <w:noWrap/>
            <w:vAlign w:val="bottom"/>
            <w:hideMark/>
          </w:tcPr>
          <w:p w14:paraId="2648258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(0.027)</w:t>
            </w:r>
          </w:p>
        </w:tc>
        <w:tc>
          <w:tcPr>
            <w:tcW w:w="2145" w:type="dxa"/>
            <w:tcBorders>
              <w:top w:val="nil"/>
              <w:left w:val="nil"/>
              <w:bottom w:val="nil"/>
              <w:right w:val="nil"/>
            </w:tcBorders>
            <w:shd w:val="clear" w:color="auto" w:fill="auto"/>
            <w:noWrap/>
            <w:vAlign w:val="bottom"/>
            <w:hideMark/>
          </w:tcPr>
          <w:p w14:paraId="38D44F1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(0.016)</w:t>
            </w:r>
          </w:p>
        </w:tc>
      </w:tr>
      <w:tr w:rsidR="000E49B7" w:rsidRPr="000E49B7" w14:paraId="3208D2A0"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4617273F"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
        </w:tc>
        <w:tc>
          <w:tcPr>
            <w:tcW w:w="2145" w:type="dxa"/>
            <w:tcBorders>
              <w:top w:val="nil"/>
              <w:left w:val="nil"/>
              <w:bottom w:val="nil"/>
              <w:right w:val="nil"/>
            </w:tcBorders>
            <w:shd w:val="clear" w:color="auto" w:fill="auto"/>
            <w:noWrap/>
            <w:vAlign w:val="bottom"/>
            <w:hideMark/>
          </w:tcPr>
          <w:p w14:paraId="014964C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-0.121***</w:t>
            </w:r>
          </w:p>
        </w:tc>
        <w:tc>
          <w:tcPr>
            <w:tcW w:w="2145" w:type="dxa"/>
            <w:tcBorders>
              <w:top w:val="nil"/>
              <w:left w:val="nil"/>
              <w:bottom w:val="nil"/>
              <w:right w:val="nil"/>
            </w:tcBorders>
            <w:shd w:val="clear" w:color="auto" w:fill="auto"/>
            <w:noWrap/>
            <w:vAlign w:val="bottom"/>
            <w:hideMark/>
          </w:tcPr>
          <w:p w14:paraId="77AC8F7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-0.036***</w:t>
            </w:r>
          </w:p>
        </w:tc>
      </w:tr>
      <w:tr w:rsidR="000E49B7" w:rsidRPr="000E49B7" w14:paraId="342B93EF"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1785160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145" w:type="dxa"/>
            <w:tcBorders>
              <w:top w:val="nil"/>
              <w:left w:val="nil"/>
              <w:bottom w:val="nil"/>
              <w:right w:val="nil"/>
            </w:tcBorders>
            <w:shd w:val="clear" w:color="auto" w:fill="auto"/>
            <w:noWrap/>
            <w:vAlign w:val="bottom"/>
            <w:hideMark/>
          </w:tcPr>
          <w:p w14:paraId="67AAAC1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(0.017)</w:t>
            </w:r>
          </w:p>
        </w:tc>
        <w:tc>
          <w:tcPr>
            <w:tcW w:w="2145" w:type="dxa"/>
            <w:tcBorders>
              <w:top w:val="nil"/>
              <w:left w:val="nil"/>
              <w:bottom w:val="nil"/>
              <w:right w:val="nil"/>
            </w:tcBorders>
            <w:shd w:val="clear" w:color="auto" w:fill="auto"/>
            <w:noWrap/>
            <w:vAlign w:val="bottom"/>
            <w:hideMark/>
          </w:tcPr>
          <w:p w14:paraId="1999966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(0.011)</w:t>
            </w:r>
          </w:p>
        </w:tc>
      </w:tr>
      <w:tr w:rsidR="000E49B7" w:rsidRPr="000E49B7" w14:paraId="521D41D2"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06D6F93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145" w:type="dxa"/>
            <w:tcBorders>
              <w:top w:val="nil"/>
              <w:left w:val="nil"/>
              <w:bottom w:val="nil"/>
              <w:right w:val="nil"/>
            </w:tcBorders>
            <w:shd w:val="clear" w:color="auto" w:fill="auto"/>
            <w:noWrap/>
            <w:vAlign w:val="bottom"/>
            <w:hideMark/>
          </w:tcPr>
          <w:p w14:paraId="00246298"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2145" w:type="dxa"/>
            <w:tcBorders>
              <w:top w:val="nil"/>
              <w:left w:val="nil"/>
              <w:bottom w:val="nil"/>
              <w:right w:val="nil"/>
            </w:tcBorders>
            <w:shd w:val="clear" w:color="auto" w:fill="auto"/>
            <w:noWrap/>
            <w:vAlign w:val="bottom"/>
            <w:hideMark/>
          </w:tcPr>
          <w:p w14:paraId="0EE714FF"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r>
      <w:tr w:rsidR="000E49B7" w:rsidRPr="000E49B7" w14:paraId="350C8EC6" w14:textId="77777777" w:rsidTr="000E49B7">
        <w:trPr>
          <w:trHeight w:val="345"/>
          <w:jc w:val="center"/>
        </w:trPr>
        <w:tc>
          <w:tcPr>
            <w:tcW w:w="3151" w:type="dxa"/>
            <w:tcBorders>
              <w:top w:val="nil"/>
              <w:left w:val="nil"/>
              <w:bottom w:val="double" w:sz="6" w:space="0" w:color="auto"/>
              <w:right w:val="nil"/>
            </w:tcBorders>
            <w:shd w:val="clear" w:color="auto" w:fill="auto"/>
            <w:noWrap/>
            <w:vAlign w:val="bottom"/>
            <w:hideMark/>
          </w:tcPr>
          <w:p w14:paraId="4772EC90"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2145" w:type="dxa"/>
            <w:tcBorders>
              <w:top w:val="nil"/>
              <w:left w:val="nil"/>
              <w:bottom w:val="double" w:sz="6" w:space="0" w:color="auto"/>
              <w:right w:val="nil"/>
            </w:tcBorders>
            <w:shd w:val="clear" w:color="auto" w:fill="auto"/>
            <w:noWrap/>
            <w:vAlign w:val="bottom"/>
            <w:hideMark/>
          </w:tcPr>
          <w:p w14:paraId="1EEA231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328,548</w:t>
            </w:r>
          </w:p>
        </w:tc>
        <w:tc>
          <w:tcPr>
            <w:tcW w:w="2145" w:type="dxa"/>
            <w:tcBorders>
              <w:top w:val="nil"/>
              <w:left w:val="nil"/>
              <w:bottom w:val="double" w:sz="6" w:space="0" w:color="auto"/>
              <w:right w:val="nil"/>
            </w:tcBorders>
            <w:shd w:val="clear" w:color="auto" w:fill="auto"/>
            <w:noWrap/>
            <w:vAlign w:val="bottom"/>
            <w:hideMark/>
          </w:tcPr>
          <w:p w14:paraId="1751B80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98,542</w:t>
            </w:r>
          </w:p>
        </w:tc>
      </w:tr>
      <w:tr w:rsidR="000E49B7" w:rsidRPr="000E49B7" w14:paraId="3B954789" w14:textId="77777777" w:rsidTr="000E49B7">
        <w:trPr>
          <w:trHeight w:val="345"/>
          <w:jc w:val="center"/>
        </w:trPr>
        <w:tc>
          <w:tcPr>
            <w:tcW w:w="3151" w:type="dxa"/>
            <w:tcBorders>
              <w:top w:val="nil"/>
              <w:left w:val="nil"/>
              <w:bottom w:val="nil"/>
              <w:right w:val="nil"/>
            </w:tcBorders>
            <w:shd w:val="clear" w:color="auto" w:fill="auto"/>
            <w:noWrap/>
            <w:vAlign w:val="bottom"/>
            <w:hideMark/>
          </w:tcPr>
          <w:p w14:paraId="3DCE134D"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Indiv</w:t>
            </w:r>
            <w:proofErr w:type="spellEnd"/>
            <w:r w:rsidRPr="000E49B7">
              <w:rPr>
                <w:rFonts w:ascii="Times New Roman" w:eastAsia="Malgun Gothic" w:hAnsi="Times New Roman" w:cs="Times New Roman"/>
                <w:color w:val="000000"/>
                <w:sz w:val="24"/>
                <w:szCs w:val="24"/>
              </w:rPr>
              <w:t>. Controls</w:t>
            </w:r>
          </w:p>
        </w:tc>
        <w:tc>
          <w:tcPr>
            <w:tcW w:w="2145" w:type="dxa"/>
            <w:tcBorders>
              <w:top w:val="nil"/>
              <w:left w:val="nil"/>
              <w:bottom w:val="nil"/>
              <w:right w:val="nil"/>
            </w:tcBorders>
            <w:shd w:val="clear" w:color="auto" w:fill="auto"/>
            <w:noWrap/>
            <w:vAlign w:val="bottom"/>
            <w:hideMark/>
          </w:tcPr>
          <w:p w14:paraId="25C754D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2145" w:type="dxa"/>
            <w:tcBorders>
              <w:top w:val="nil"/>
              <w:left w:val="nil"/>
              <w:bottom w:val="nil"/>
              <w:right w:val="nil"/>
            </w:tcBorders>
            <w:shd w:val="clear" w:color="auto" w:fill="auto"/>
            <w:noWrap/>
            <w:vAlign w:val="bottom"/>
            <w:hideMark/>
          </w:tcPr>
          <w:p w14:paraId="6B0F0DE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574B3B75" w14:textId="77777777" w:rsidTr="000E49B7">
        <w:trPr>
          <w:trHeight w:val="330"/>
          <w:jc w:val="center"/>
        </w:trPr>
        <w:tc>
          <w:tcPr>
            <w:tcW w:w="3151" w:type="dxa"/>
            <w:tcBorders>
              <w:top w:val="nil"/>
              <w:left w:val="nil"/>
              <w:bottom w:val="nil"/>
              <w:right w:val="nil"/>
            </w:tcBorders>
            <w:shd w:val="clear" w:color="auto" w:fill="auto"/>
            <w:noWrap/>
            <w:vAlign w:val="bottom"/>
            <w:hideMark/>
          </w:tcPr>
          <w:p w14:paraId="68E62CE8"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CZ×Year</w:t>
            </w:r>
            <w:proofErr w:type="spellEnd"/>
            <w:r w:rsidRPr="000E49B7">
              <w:rPr>
                <w:rFonts w:ascii="Times New Roman" w:eastAsia="Malgun Gothic" w:hAnsi="Times New Roman" w:cs="Times New Roman"/>
                <w:color w:val="000000"/>
                <w:sz w:val="24"/>
                <w:szCs w:val="24"/>
              </w:rPr>
              <w:t xml:space="preserve"> FE</w:t>
            </w:r>
          </w:p>
        </w:tc>
        <w:tc>
          <w:tcPr>
            <w:tcW w:w="2145" w:type="dxa"/>
            <w:tcBorders>
              <w:top w:val="nil"/>
              <w:left w:val="nil"/>
              <w:bottom w:val="nil"/>
              <w:right w:val="nil"/>
            </w:tcBorders>
            <w:shd w:val="clear" w:color="auto" w:fill="auto"/>
            <w:noWrap/>
            <w:vAlign w:val="bottom"/>
            <w:hideMark/>
          </w:tcPr>
          <w:p w14:paraId="6155ADD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2145" w:type="dxa"/>
            <w:tcBorders>
              <w:top w:val="nil"/>
              <w:left w:val="nil"/>
              <w:bottom w:val="nil"/>
              <w:right w:val="nil"/>
            </w:tcBorders>
            <w:shd w:val="clear" w:color="auto" w:fill="auto"/>
            <w:noWrap/>
            <w:vAlign w:val="bottom"/>
            <w:hideMark/>
          </w:tcPr>
          <w:p w14:paraId="2EFA66E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72DA6DA2" w14:textId="77777777" w:rsidTr="000E49B7">
        <w:trPr>
          <w:trHeight w:val="345"/>
          <w:jc w:val="center"/>
        </w:trPr>
        <w:tc>
          <w:tcPr>
            <w:tcW w:w="3151" w:type="dxa"/>
            <w:tcBorders>
              <w:top w:val="nil"/>
              <w:left w:val="nil"/>
              <w:bottom w:val="double" w:sz="6" w:space="0" w:color="auto"/>
              <w:right w:val="nil"/>
            </w:tcBorders>
            <w:shd w:val="clear" w:color="auto" w:fill="auto"/>
            <w:noWrap/>
            <w:vAlign w:val="bottom"/>
            <w:hideMark/>
          </w:tcPr>
          <w:p w14:paraId="7C34DB88"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State FE</w:t>
            </w:r>
          </w:p>
        </w:tc>
        <w:tc>
          <w:tcPr>
            <w:tcW w:w="2145" w:type="dxa"/>
            <w:tcBorders>
              <w:top w:val="nil"/>
              <w:left w:val="nil"/>
              <w:bottom w:val="double" w:sz="6" w:space="0" w:color="auto"/>
              <w:right w:val="nil"/>
            </w:tcBorders>
            <w:shd w:val="clear" w:color="auto" w:fill="auto"/>
            <w:noWrap/>
            <w:vAlign w:val="bottom"/>
            <w:hideMark/>
          </w:tcPr>
          <w:p w14:paraId="12D6DD0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2145" w:type="dxa"/>
            <w:tcBorders>
              <w:top w:val="nil"/>
              <w:left w:val="nil"/>
              <w:bottom w:val="double" w:sz="6" w:space="0" w:color="auto"/>
              <w:right w:val="nil"/>
            </w:tcBorders>
            <w:shd w:val="clear" w:color="auto" w:fill="auto"/>
            <w:noWrap/>
            <w:vAlign w:val="bottom"/>
            <w:hideMark/>
          </w:tcPr>
          <w:p w14:paraId="57EB243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42BA8F3B" w14:textId="77777777" w:rsidTr="000E49B7">
        <w:trPr>
          <w:trHeight w:val="1080"/>
          <w:jc w:val="center"/>
        </w:trPr>
        <w:tc>
          <w:tcPr>
            <w:tcW w:w="7441" w:type="dxa"/>
            <w:gridSpan w:val="3"/>
            <w:tcBorders>
              <w:top w:val="double" w:sz="6" w:space="0" w:color="auto"/>
              <w:left w:val="nil"/>
              <w:bottom w:val="nil"/>
              <w:right w:val="nil"/>
            </w:tcBorders>
            <w:shd w:val="clear" w:color="auto" w:fill="auto"/>
            <w:hideMark/>
          </w:tcPr>
          <w:p w14:paraId="40ACDD82" w14:textId="77777777" w:rsidR="000E49B7" w:rsidRPr="000E49B7" w:rsidRDefault="000E49B7" w:rsidP="000E49B7">
            <w:pPr>
              <w:spacing w:after="0" w:line="240" w:lineRule="auto"/>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t xml:space="preserve">Notes: </w:t>
            </w:r>
            <w:r w:rsidRPr="000E49B7">
              <w:rPr>
                <w:rFonts w:ascii="Times New Roman" w:eastAsia="Malgun Gothic" w:hAnsi="Times New Roman" w:cs="Times New Roman"/>
                <w:color w:val="000000"/>
                <w:sz w:val="20"/>
                <w:szCs w:val="20"/>
              </w:rPr>
              <w:t xml:space="preserve">The dependent variable is the log of annual earnings. Estimates are based on Equation (1). In this analysis, we also include kindergarten and earlier </w:t>
            </w:r>
            <w:proofErr w:type="gramStart"/>
            <w:r w:rsidRPr="000E49B7">
              <w:rPr>
                <w:rFonts w:ascii="Times New Roman" w:eastAsia="Malgun Gothic" w:hAnsi="Times New Roman" w:cs="Times New Roman"/>
                <w:color w:val="000000"/>
                <w:sz w:val="20"/>
                <w:szCs w:val="20"/>
              </w:rPr>
              <w:t>school teachers</w:t>
            </w:r>
            <w:proofErr w:type="gramEnd"/>
            <w:r w:rsidRPr="000E49B7">
              <w:rPr>
                <w:rFonts w:ascii="Times New Roman" w:eastAsia="Malgun Gothic" w:hAnsi="Times New Roman" w:cs="Times New Roman"/>
                <w:color w:val="000000"/>
                <w:sz w:val="20"/>
                <w:szCs w:val="20"/>
              </w:rPr>
              <w:t xml:space="preserve">. * </w:t>
            </w:r>
            <w:proofErr w:type="gramStart"/>
            <w:r w:rsidRPr="000E49B7">
              <w:rPr>
                <w:rFonts w:ascii="Times New Roman" w:eastAsia="Malgun Gothic" w:hAnsi="Times New Roman" w:cs="Times New Roman"/>
                <w:color w:val="000000"/>
                <w:sz w:val="20"/>
                <w:szCs w:val="20"/>
              </w:rPr>
              <w:t>denotes</w:t>
            </w:r>
            <w:proofErr w:type="gramEnd"/>
            <w:r w:rsidRPr="000E49B7">
              <w:rPr>
                <w:rFonts w:ascii="Times New Roman" w:eastAsia="Malgun Gothic" w:hAnsi="Times New Roman" w:cs="Times New Roman"/>
                <w:color w:val="000000"/>
                <w:sz w:val="20"/>
                <w:szCs w:val="20"/>
              </w:rPr>
              <w:t xml:space="preserve"> significance at the ten percent level, ** denotes at the five percent level, and *** denotes at the one percent level.</w:t>
            </w:r>
          </w:p>
        </w:tc>
      </w:tr>
    </w:tbl>
    <w:p w14:paraId="5FA0E3DE" w14:textId="77777777" w:rsidR="000E49B7" w:rsidRDefault="000E49B7" w:rsidP="000E49B7">
      <w:pPr>
        <w:widowControl w:val="0"/>
        <w:autoSpaceDE w:val="0"/>
        <w:autoSpaceDN w:val="0"/>
        <w:adjustRightInd w:val="0"/>
        <w:spacing w:line="240" w:lineRule="auto"/>
        <w:jc w:val="both"/>
        <w:rPr>
          <w:rFonts w:ascii="Times New Roman" w:eastAsia="CMR10" w:hAnsi="Times New Roman" w:cs="Times New Roman"/>
          <w:sz w:val="24"/>
          <w:szCs w:val="24"/>
          <w14:ligatures w14:val="standardContextual"/>
        </w:rPr>
      </w:pPr>
    </w:p>
    <w:tbl>
      <w:tblPr>
        <w:tblW w:w="7440" w:type="dxa"/>
        <w:jc w:val="center"/>
        <w:tblCellMar>
          <w:left w:w="99" w:type="dxa"/>
          <w:right w:w="99" w:type="dxa"/>
        </w:tblCellMar>
        <w:tblLook w:val="04A0" w:firstRow="1" w:lastRow="0" w:firstColumn="1" w:lastColumn="0" w:noHBand="0" w:noVBand="1"/>
      </w:tblPr>
      <w:tblGrid>
        <w:gridCol w:w="3383"/>
        <w:gridCol w:w="2302"/>
        <w:gridCol w:w="1755"/>
      </w:tblGrid>
      <w:tr w:rsidR="000E49B7" w:rsidRPr="000E49B7" w14:paraId="0DB87456" w14:textId="77777777" w:rsidTr="000E49B7">
        <w:trPr>
          <w:trHeight w:val="345"/>
          <w:jc w:val="center"/>
        </w:trPr>
        <w:tc>
          <w:tcPr>
            <w:tcW w:w="7440" w:type="dxa"/>
            <w:gridSpan w:val="3"/>
            <w:tcBorders>
              <w:top w:val="nil"/>
              <w:left w:val="nil"/>
              <w:bottom w:val="double" w:sz="6" w:space="0" w:color="auto"/>
              <w:right w:val="nil"/>
            </w:tcBorders>
            <w:shd w:val="clear" w:color="auto" w:fill="auto"/>
            <w:noWrap/>
            <w:hideMark/>
          </w:tcPr>
          <w:p w14:paraId="58249016"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Table A4: Without Including CZ Fixed Effects</w:t>
            </w:r>
          </w:p>
        </w:tc>
      </w:tr>
      <w:tr w:rsidR="000E49B7" w:rsidRPr="000E49B7" w14:paraId="0F6EACC8" w14:textId="77777777" w:rsidTr="000E49B7">
        <w:trPr>
          <w:trHeight w:val="345"/>
          <w:jc w:val="center"/>
        </w:trPr>
        <w:tc>
          <w:tcPr>
            <w:tcW w:w="3383" w:type="dxa"/>
            <w:tcBorders>
              <w:top w:val="nil"/>
              <w:left w:val="nil"/>
              <w:bottom w:val="nil"/>
              <w:right w:val="nil"/>
            </w:tcBorders>
            <w:shd w:val="clear" w:color="auto" w:fill="auto"/>
            <w:noWrap/>
            <w:vAlign w:val="bottom"/>
            <w:hideMark/>
          </w:tcPr>
          <w:p w14:paraId="7853C0A2"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p>
        </w:tc>
        <w:tc>
          <w:tcPr>
            <w:tcW w:w="4057" w:type="dxa"/>
            <w:gridSpan w:val="2"/>
            <w:tcBorders>
              <w:top w:val="double" w:sz="6" w:space="0" w:color="auto"/>
              <w:left w:val="nil"/>
              <w:bottom w:val="nil"/>
              <w:right w:val="nil"/>
            </w:tcBorders>
            <w:shd w:val="clear" w:color="auto" w:fill="auto"/>
            <w:noWrap/>
            <w:vAlign w:val="bottom"/>
            <w:hideMark/>
          </w:tcPr>
          <w:p w14:paraId="40120C4D" w14:textId="509840AA"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Dep. Variable: ln</w:t>
            </w:r>
            <w:r>
              <w:rPr>
                <w:rFonts w:ascii="Times New Roman" w:eastAsia="Malgun Gothic" w:hAnsi="Times New Roman" w:cs="Times New Roman"/>
                <w:color w:val="000000"/>
                <w:sz w:val="24"/>
                <w:szCs w:val="24"/>
              </w:rPr>
              <w:t xml:space="preserve"> </w:t>
            </w:r>
            <w:r w:rsidRPr="000E49B7">
              <w:rPr>
                <w:rFonts w:ascii="Times New Roman" w:eastAsia="Malgun Gothic" w:hAnsi="Times New Roman" w:cs="Times New Roman"/>
                <w:color w:val="000000"/>
                <w:sz w:val="24"/>
                <w:szCs w:val="24"/>
              </w:rPr>
              <w:t>(Annual Earnings)</w:t>
            </w:r>
          </w:p>
        </w:tc>
      </w:tr>
      <w:tr w:rsidR="000E49B7" w:rsidRPr="000E49B7" w14:paraId="1755E7F0" w14:textId="77777777" w:rsidTr="000E49B7">
        <w:trPr>
          <w:trHeight w:val="330"/>
          <w:jc w:val="center"/>
        </w:trPr>
        <w:tc>
          <w:tcPr>
            <w:tcW w:w="3383" w:type="dxa"/>
            <w:tcBorders>
              <w:top w:val="nil"/>
              <w:left w:val="nil"/>
              <w:bottom w:val="nil"/>
              <w:right w:val="nil"/>
            </w:tcBorders>
            <w:shd w:val="clear" w:color="auto" w:fill="auto"/>
            <w:noWrap/>
            <w:vAlign w:val="bottom"/>
            <w:hideMark/>
          </w:tcPr>
          <w:p w14:paraId="23E7411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302" w:type="dxa"/>
            <w:tcBorders>
              <w:top w:val="nil"/>
              <w:left w:val="nil"/>
              <w:bottom w:val="nil"/>
              <w:right w:val="nil"/>
            </w:tcBorders>
            <w:shd w:val="clear" w:color="auto" w:fill="auto"/>
            <w:noWrap/>
            <w:vAlign w:val="bottom"/>
            <w:hideMark/>
          </w:tcPr>
          <w:p w14:paraId="79B8A6F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Women</w:t>
            </w:r>
          </w:p>
        </w:tc>
        <w:tc>
          <w:tcPr>
            <w:tcW w:w="1755" w:type="dxa"/>
            <w:tcBorders>
              <w:top w:val="nil"/>
              <w:left w:val="nil"/>
              <w:bottom w:val="nil"/>
              <w:right w:val="nil"/>
            </w:tcBorders>
            <w:shd w:val="clear" w:color="auto" w:fill="auto"/>
            <w:noWrap/>
            <w:vAlign w:val="bottom"/>
            <w:hideMark/>
          </w:tcPr>
          <w:p w14:paraId="3BE9E72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Men</w:t>
            </w:r>
          </w:p>
        </w:tc>
      </w:tr>
      <w:tr w:rsidR="000E49B7" w:rsidRPr="000E49B7" w14:paraId="54EE9453" w14:textId="77777777" w:rsidTr="000E49B7">
        <w:trPr>
          <w:trHeight w:val="330"/>
          <w:jc w:val="center"/>
        </w:trPr>
        <w:tc>
          <w:tcPr>
            <w:tcW w:w="3383" w:type="dxa"/>
            <w:tcBorders>
              <w:top w:val="nil"/>
              <w:left w:val="nil"/>
              <w:bottom w:val="single" w:sz="4" w:space="0" w:color="auto"/>
              <w:right w:val="nil"/>
            </w:tcBorders>
            <w:shd w:val="clear" w:color="auto" w:fill="auto"/>
            <w:noWrap/>
            <w:vAlign w:val="bottom"/>
            <w:hideMark/>
          </w:tcPr>
          <w:p w14:paraId="55AFA612"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2302" w:type="dxa"/>
            <w:tcBorders>
              <w:top w:val="nil"/>
              <w:left w:val="nil"/>
              <w:bottom w:val="single" w:sz="4" w:space="0" w:color="auto"/>
              <w:right w:val="nil"/>
            </w:tcBorders>
            <w:shd w:val="clear" w:color="auto" w:fill="auto"/>
            <w:noWrap/>
            <w:vAlign w:val="bottom"/>
            <w:hideMark/>
          </w:tcPr>
          <w:p w14:paraId="4E82F01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w:t>
            </w:r>
          </w:p>
        </w:tc>
        <w:tc>
          <w:tcPr>
            <w:tcW w:w="1755" w:type="dxa"/>
            <w:tcBorders>
              <w:top w:val="nil"/>
              <w:left w:val="nil"/>
              <w:bottom w:val="single" w:sz="4" w:space="0" w:color="auto"/>
              <w:right w:val="nil"/>
            </w:tcBorders>
            <w:shd w:val="clear" w:color="auto" w:fill="auto"/>
            <w:noWrap/>
            <w:vAlign w:val="bottom"/>
            <w:hideMark/>
          </w:tcPr>
          <w:p w14:paraId="1042276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w:t>
            </w:r>
          </w:p>
        </w:tc>
      </w:tr>
      <w:tr w:rsidR="000E49B7" w:rsidRPr="000E49B7" w14:paraId="55EFD882" w14:textId="77777777" w:rsidTr="000E49B7">
        <w:trPr>
          <w:trHeight w:val="330"/>
          <w:jc w:val="center"/>
        </w:trPr>
        <w:tc>
          <w:tcPr>
            <w:tcW w:w="3383" w:type="dxa"/>
            <w:tcBorders>
              <w:top w:val="nil"/>
              <w:left w:val="nil"/>
              <w:bottom w:val="nil"/>
              <w:right w:val="nil"/>
            </w:tcBorders>
            <w:shd w:val="clear" w:color="auto" w:fill="auto"/>
            <w:noWrap/>
            <w:vAlign w:val="bottom"/>
            <w:hideMark/>
          </w:tcPr>
          <w:p w14:paraId="5FBD224C"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STEM*CB</w:t>
            </w:r>
          </w:p>
        </w:tc>
        <w:tc>
          <w:tcPr>
            <w:tcW w:w="2302" w:type="dxa"/>
            <w:tcBorders>
              <w:top w:val="nil"/>
              <w:left w:val="nil"/>
              <w:bottom w:val="nil"/>
              <w:right w:val="nil"/>
            </w:tcBorders>
            <w:shd w:val="clear" w:color="auto" w:fill="auto"/>
            <w:noWrap/>
            <w:vAlign w:val="bottom"/>
            <w:hideMark/>
          </w:tcPr>
          <w:p w14:paraId="75D997E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0.067***</w:t>
            </w:r>
          </w:p>
        </w:tc>
        <w:tc>
          <w:tcPr>
            <w:tcW w:w="1755" w:type="dxa"/>
            <w:tcBorders>
              <w:top w:val="nil"/>
              <w:left w:val="nil"/>
              <w:bottom w:val="nil"/>
              <w:right w:val="nil"/>
            </w:tcBorders>
            <w:shd w:val="clear" w:color="auto" w:fill="auto"/>
            <w:noWrap/>
            <w:vAlign w:val="bottom"/>
            <w:hideMark/>
          </w:tcPr>
          <w:p w14:paraId="37A527A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0.009</w:t>
            </w:r>
          </w:p>
        </w:tc>
      </w:tr>
      <w:tr w:rsidR="000E49B7" w:rsidRPr="000E49B7" w14:paraId="2E5EA35A" w14:textId="77777777" w:rsidTr="000E49B7">
        <w:trPr>
          <w:trHeight w:val="330"/>
          <w:jc w:val="center"/>
        </w:trPr>
        <w:tc>
          <w:tcPr>
            <w:tcW w:w="3383" w:type="dxa"/>
            <w:tcBorders>
              <w:top w:val="nil"/>
              <w:left w:val="nil"/>
              <w:bottom w:val="nil"/>
              <w:right w:val="nil"/>
            </w:tcBorders>
            <w:shd w:val="clear" w:color="auto" w:fill="auto"/>
            <w:noWrap/>
            <w:vAlign w:val="bottom"/>
            <w:hideMark/>
          </w:tcPr>
          <w:p w14:paraId="6D51EA0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302" w:type="dxa"/>
            <w:tcBorders>
              <w:top w:val="nil"/>
              <w:left w:val="nil"/>
              <w:bottom w:val="nil"/>
              <w:right w:val="nil"/>
            </w:tcBorders>
            <w:shd w:val="clear" w:color="auto" w:fill="auto"/>
            <w:noWrap/>
            <w:vAlign w:val="bottom"/>
            <w:hideMark/>
          </w:tcPr>
          <w:p w14:paraId="7A8D44C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(0.021)</w:t>
            </w:r>
          </w:p>
        </w:tc>
        <w:tc>
          <w:tcPr>
            <w:tcW w:w="1755" w:type="dxa"/>
            <w:tcBorders>
              <w:top w:val="nil"/>
              <w:left w:val="nil"/>
              <w:bottom w:val="nil"/>
              <w:right w:val="nil"/>
            </w:tcBorders>
            <w:shd w:val="clear" w:color="auto" w:fill="auto"/>
            <w:noWrap/>
            <w:vAlign w:val="bottom"/>
            <w:hideMark/>
          </w:tcPr>
          <w:p w14:paraId="18952FF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(0.017)</w:t>
            </w:r>
          </w:p>
        </w:tc>
      </w:tr>
      <w:tr w:rsidR="000E49B7" w:rsidRPr="000E49B7" w14:paraId="192AA231" w14:textId="77777777" w:rsidTr="000E49B7">
        <w:trPr>
          <w:trHeight w:val="330"/>
          <w:jc w:val="center"/>
        </w:trPr>
        <w:tc>
          <w:tcPr>
            <w:tcW w:w="3383" w:type="dxa"/>
            <w:tcBorders>
              <w:top w:val="nil"/>
              <w:left w:val="nil"/>
              <w:bottom w:val="nil"/>
              <w:right w:val="nil"/>
            </w:tcBorders>
            <w:shd w:val="clear" w:color="auto" w:fill="auto"/>
            <w:noWrap/>
            <w:vAlign w:val="bottom"/>
            <w:hideMark/>
          </w:tcPr>
          <w:p w14:paraId="7FAD6E23"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
        </w:tc>
        <w:tc>
          <w:tcPr>
            <w:tcW w:w="2302" w:type="dxa"/>
            <w:tcBorders>
              <w:top w:val="nil"/>
              <w:left w:val="nil"/>
              <w:bottom w:val="nil"/>
              <w:right w:val="nil"/>
            </w:tcBorders>
            <w:shd w:val="clear" w:color="auto" w:fill="auto"/>
            <w:noWrap/>
            <w:vAlign w:val="bottom"/>
            <w:hideMark/>
          </w:tcPr>
          <w:p w14:paraId="3B6728A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-0.115***</w:t>
            </w:r>
          </w:p>
        </w:tc>
        <w:tc>
          <w:tcPr>
            <w:tcW w:w="1755" w:type="dxa"/>
            <w:tcBorders>
              <w:top w:val="nil"/>
              <w:left w:val="nil"/>
              <w:bottom w:val="nil"/>
              <w:right w:val="nil"/>
            </w:tcBorders>
            <w:shd w:val="clear" w:color="auto" w:fill="auto"/>
            <w:noWrap/>
            <w:vAlign w:val="bottom"/>
            <w:hideMark/>
          </w:tcPr>
          <w:p w14:paraId="7F8E825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-0.025*</w:t>
            </w:r>
          </w:p>
        </w:tc>
      </w:tr>
      <w:tr w:rsidR="000E49B7" w:rsidRPr="000E49B7" w14:paraId="0BB0ED2E" w14:textId="77777777" w:rsidTr="000E49B7">
        <w:trPr>
          <w:trHeight w:val="330"/>
          <w:jc w:val="center"/>
        </w:trPr>
        <w:tc>
          <w:tcPr>
            <w:tcW w:w="3383" w:type="dxa"/>
            <w:tcBorders>
              <w:top w:val="nil"/>
              <w:left w:val="nil"/>
              <w:bottom w:val="nil"/>
              <w:right w:val="nil"/>
            </w:tcBorders>
            <w:shd w:val="clear" w:color="auto" w:fill="auto"/>
            <w:noWrap/>
            <w:vAlign w:val="bottom"/>
            <w:hideMark/>
          </w:tcPr>
          <w:p w14:paraId="139CE4F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302" w:type="dxa"/>
            <w:tcBorders>
              <w:top w:val="nil"/>
              <w:left w:val="nil"/>
              <w:bottom w:val="nil"/>
              <w:right w:val="nil"/>
            </w:tcBorders>
            <w:shd w:val="clear" w:color="auto" w:fill="auto"/>
            <w:noWrap/>
            <w:vAlign w:val="bottom"/>
            <w:hideMark/>
          </w:tcPr>
          <w:p w14:paraId="050926F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(0.013)</w:t>
            </w:r>
          </w:p>
        </w:tc>
        <w:tc>
          <w:tcPr>
            <w:tcW w:w="1755" w:type="dxa"/>
            <w:tcBorders>
              <w:top w:val="nil"/>
              <w:left w:val="nil"/>
              <w:bottom w:val="nil"/>
              <w:right w:val="nil"/>
            </w:tcBorders>
            <w:shd w:val="clear" w:color="auto" w:fill="auto"/>
            <w:noWrap/>
            <w:vAlign w:val="bottom"/>
            <w:hideMark/>
          </w:tcPr>
          <w:p w14:paraId="4B29550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(0.013)</w:t>
            </w:r>
          </w:p>
        </w:tc>
      </w:tr>
      <w:tr w:rsidR="000E49B7" w:rsidRPr="000E49B7" w14:paraId="36D1319D" w14:textId="77777777" w:rsidTr="000E49B7">
        <w:trPr>
          <w:trHeight w:val="330"/>
          <w:jc w:val="center"/>
        </w:trPr>
        <w:tc>
          <w:tcPr>
            <w:tcW w:w="3383" w:type="dxa"/>
            <w:tcBorders>
              <w:top w:val="nil"/>
              <w:left w:val="nil"/>
              <w:bottom w:val="nil"/>
              <w:right w:val="nil"/>
            </w:tcBorders>
            <w:shd w:val="clear" w:color="auto" w:fill="auto"/>
            <w:noWrap/>
            <w:vAlign w:val="bottom"/>
            <w:hideMark/>
          </w:tcPr>
          <w:p w14:paraId="1D87B13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2302" w:type="dxa"/>
            <w:tcBorders>
              <w:top w:val="nil"/>
              <w:left w:val="nil"/>
              <w:bottom w:val="nil"/>
              <w:right w:val="nil"/>
            </w:tcBorders>
            <w:shd w:val="clear" w:color="auto" w:fill="auto"/>
            <w:noWrap/>
            <w:vAlign w:val="bottom"/>
            <w:hideMark/>
          </w:tcPr>
          <w:p w14:paraId="79A5501B"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755" w:type="dxa"/>
            <w:tcBorders>
              <w:top w:val="nil"/>
              <w:left w:val="nil"/>
              <w:bottom w:val="nil"/>
              <w:right w:val="nil"/>
            </w:tcBorders>
            <w:shd w:val="clear" w:color="auto" w:fill="auto"/>
            <w:noWrap/>
            <w:vAlign w:val="bottom"/>
            <w:hideMark/>
          </w:tcPr>
          <w:p w14:paraId="55FF1B8F"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r>
      <w:tr w:rsidR="000E49B7" w:rsidRPr="000E49B7" w14:paraId="74605DB6" w14:textId="77777777" w:rsidTr="000E49B7">
        <w:trPr>
          <w:trHeight w:val="345"/>
          <w:jc w:val="center"/>
        </w:trPr>
        <w:tc>
          <w:tcPr>
            <w:tcW w:w="3383" w:type="dxa"/>
            <w:tcBorders>
              <w:top w:val="nil"/>
              <w:left w:val="nil"/>
              <w:bottom w:val="double" w:sz="6" w:space="0" w:color="auto"/>
              <w:right w:val="nil"/>
            </w:tcBorders>
            <w:shd w:val="clear" w:color="auto" w:fill="auto"/>
            <w:noWrap/>
            <w:vAlign w:val="bottom"/>
            <w:hideMark/>
          </w:tcPr>
          <w:p w14:paraId="126926C2"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2302" w:type="dxa"/>
            <w:tcBorders>
              <w:top w:val="nil"/>
              <w:left w:val="nil"/>
              <w:bottom w:val="double" w:sz="6" w:space="0" w:color="auto"/>
              <w:right w:val="nil"/>
            </w:tcBorders>
            <w:shd w:val="clear" w:color="auto" w:fill="auto"/>
            <w:noWrap/>
            <w:vAlign w:val="bottom"/>
            <w:hideMark/>
          </w:tcPr>
          <w:p w14:paraId="6700A85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313,550</w:t>
            </w:r>
          </w:p>
        </w:tc>
        <w:tc>
          <w:tcPr>
            <w:tcW w:w="1755" w:type="dxa"/>
            <w:tcBorders>
              <w:top w:val="nil"/>
              <w:left w:val="nil"/>
              <w:bottom w:val="double" w:sz="6" w:space="0" w:color="auto"/>
              <w:right w:val="nil"/>
            </w:tcBorders>
            <w:shd w:val="clear" w:color="auto" w:fill="auto"/>
            <w:noWrap/>
            <w:vAlign w:val="bottom"/>
            <w:hideMark/>
          </w:tcPr>
          <w:p w14:paraId="1F46A62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98,356</w:t>
            </w:r>
          </w:p>
        </w:tc>
      </w:tr>
      <w:tr w:rsidR="000E49B7" w:rsidRPr="000E49B7" w14:paraId="46E7E516" w14:textId="77777777" w:rsidTr="000E49B7">
        <w:trPr>
          <w:trHeight w:val="345"/>
          <w:jc w:val="center"/>
        </w:trPr>
        <w:tc>
          <w:tcPr>
            <w:tcW w:w="3383" w:type="dxa"/>
            <w:tcBorders>
              <w:top w:val="nil"/>
              <w:left w:val="nil"/>
              <w:bottom w:val="nil"/>
              <w:right w:val="nil"/>
            </w:tcBorders>
            <w:shd w:val="clear" w:color="auto" w:fill="auto"/>
            <w:noWrap/>
            <w:vAlign w:val="bottom"/>
            <w:hideMark/>
          </w:tcPr>
          <w:p w14:paraId="2FF7F685"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Indiv</w:t>
            </w:r>
            <w:proofErr w:type="spellEnd"/>
            <w:r w:rsidRPr="000E49B7">
              <w:rPr>
                <w:rFonts w:ascii="Times New Roman" w:eastAsia="Malgun Gothic" w:hAnsi="Times New Roman" w:cs="Times New Roman"/>
                <w:color w:val="000000"/>
                <w:sz w:val="24"/>
                <w:szCs w:val="24"/>
              </w:rPr>
              <w:t>. Controls</w:t>
            </w:r>
          </w:p>
        </w:tc>
        <w:tc>
          <w:tcPr>
            <w:tcW w:w="2302" w:type="dxa"/>
            <w:tcBorders>
              <w:top w:val="nil"/>
              <w:left w:val="nil"/>
              <w:bottom w:val="nil"/>
              <w:right w:val="nil"/>
            </w:tcBorders>
            <w:shd w:val="clear" w:color="auto" w:fill="auto"/>
            <w:noWrap/>
            <w:vAlign w:val="bottom"/>
            <w:hideMark/>
          </w:tcPr>
          <w:p w14:paraId="56B9194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755" w:type="dxa"/>
            <w:tcBorders>
              <w:top w:val="nil"/>
              <w:left w:val="nil"/>
              <w:bottom w:val="nil"/>
              <w:right w:val="nil"/>
            </w:tcBorders>
            <w:shd w:val="clear" w:color="auto" w:fill="auto"/>
            <w:noWrap/>
            <w:vAlign w:val="bottom"/>
            <w:hideMark/>
          </w:tcPr>
          <w:p w14:paraId="160B347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13BF2797" w14:textId="77777777" w:rsidTr="000E49B7">
        <w:trPr>
          <w:trHeight w:val="330"/>
          <w:jc w:val="center"/>
        </w:trPr>
        <w:tc>
          <w:tcPr>
            <w:tcW w:w="3383" w:type="dxa"/>
            <w:tcBorders>
              <w:top w:val="nil"/>
              <w:left w:val="nil"/>
              <w:bottom w:val="nil"/>
              <w:right w:val="nil"/>
            </w:tcBorders>
            <w:shd w:val="clear" w:color="auto" w:fill="auto"/>
            <w:noWrap/>
            <w:vAlign w:val="bottom"/>
            <w:hideMark/>
          </w:tcPr>
          <w:p w14:paraId="494C5781"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CZ×Year</w:t>
            </w:r>
            <w:proofErr w:type="spellEnd"/>
            <w:r w:rsidRPr="000E49B7">
              <w:rPr>
                <w:rFonts w:ascii="Times New Roman" w:eastAsia="Malgun Gothic" w:hAnsi="Times New Roman" w:cs="Times New Roman"/>
                <w:color w:val="000000"/>
                <w:sz w:val="24"/>
                <w:szCs w:val="24"/>
              </w:rPr>
              <w:t xml:space="preserve"> FE</w:t>
            </w:r>
          </w:p>
        </w:tc>
        <w:tc>
          <w:tcPr>
            <w:tcW w:w="2302" w:type="dxa"/>
            <w:tcBorders>
              <w:top w:val="nil"/>
              <w:left w:val="nil"/>
              <w:bottom w:val="nil"/>
              <w:right w:val="nil"/>
            </w:tcBorders>
            <w:shd w:val="clear" w:color="auto" w:fill="auto"/>
            <w:noWrap/>
            <w:vAlign w:val="bottom"/>
            <w:hideMark/>
          </w:tcPr>
          <w:p w14:paraId="10C5D9E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755" w:type="dxa"/>
            <w:tcBorders>
              <w:top w:val="nil"/>
              <w:left w:val="nil"/>
              <w:bottom w:val="nil"/>
              <w:right w:val="nil"/>
            </w:tcBorders>
            <w:shd w:val="clear" w:color="auto" w:fill="auto"/>
            <w:noWrap/>
            <w:vAlign w:val="bottom"/>
            <w:hideMark/>
          </w:tcPr>
          <w:p w14:paraId="1144B42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170C1C57" w14:textId="77777777" w:rsidTr="000E49B7">
        <w:trPr>
          <w:trHeight w:val="345"/>
          <w:jc w:val="center"/>
        </w:trPr>
        <w:tc>
          <w:tcPr>
            <w:tcW w:w="3383" w:type="dxa"/>
            <w:tcBorders>
              <w:top w:val="nil"/>
              <w:left w:val="nil"/>
              <w:bottom w:val="double" w:sz="6" w:space="0" w:color="auto"/>
              <w:right w:val="nil"/>
            </w:tcBorders>
            <w:shd w:val="clear" w:color="auto" w:fill="auto"/>
            <w:noWrap/>
            <w:vAlign w:val="bottom"/>
            <w:hideMark/>
          </w:tcPr>
          <w:p w14:paraId="275E77EA"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State FE</w:t>
            </w:r>
          </w:p>
        </w:tc>
        <w:tc>
          <w:tcPr>
            <w:tcW w:w="2302" w:type="dxa"/>
            <w:tcBorders>
              <w:top w:val="nil"/>
              <w:left w:val="nil"/>
              <w:bottom w:val="double" w:sz="6" w:space="0" w:color="auto"/>
              <w:right w:val="nil"/>
            </w:tcBorders>
            <w:shd w:val="clear" w:color="auto" w:fill="auto"/>
            <w:noWrap/>
            <w:vAlign w:val="bottom"/>
            <w:hideMark/>
          </w:tcPr>
          <w:p w14:paraId="6E2B1E5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755" w:type="dxa"/>
            <w:tcBorders>
              <w:top w:val="nil"/>
              <w:left w:val="nil"/>
              <w:bottom w:val="double" w:sz="6" w:space="0" w:color="auto"/>
              <w:right w:val="nil"/>
            </w:tcBorders>
            <w:shd w:val="clear" w:color="auto" w:fill="auto"/>
            <w:noWrap/>
            <w:vAlign w:val="bottom"/>
            <w:hideMark/>
          </w:tcPr>
          <w:p w14:paraId="0738547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332136BE" w14:textId="77777777" w:rsidTr="000E49B7">
        <w:trPr>
          <w:trHeight w:val="1050"/>
          <w:jc w:val="center"/>
        </w:trPr>
        <w:tc>
          <w:tcPr>
            <w:tcW w:w="7440" w:type="dxa"/>
            <w:gridSpan w:val="3"/>
            <w:tcBorders>
              <w:top w:val="double" w:sz="6" w:space="0" w:color="auto"/>
              <w:left w:val="nil"/>
              <w:bottom w:val="nil"/>
              <w:right w:val="nil"/>
            </w:tcBorders>
            <w:shd w:val="clear" w:color="auto" w:fill="auto"/>
            <w:hideMark/>
          </w:tcPr>
          <w:p w14:paraId="46A7EC4E" w14:textId="77777777" w:rsidR="000E49B7" w:rsidRPr="000E49B7" w:rsidRDefault="000E49B7" w:rsidP="000E49B7">
            <w:pPr>
              <w:spacing w:after="0" w:line="240" w:lineRule="auto"/>
              <w:jc w:val="both"/>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t>Notes:</w:t>
            </w:r>
            <w:r w:rsidRPr="000E49B7">
              <w:rPr>
                <w:rFonts w:ascii="Times New Roman" w:eastAsia="Malgun Gothic" w:hAnsi="Times New Roman" w:cs="Times New Roman"/>
                <w:color w:val="000000"/>
                <w:sz w:val="20"/>
                <w:szCs w:val="20"/>
              </w:rPr>
              <w:t xml:space="preserve"> The dependent variable is the log of annual earnings. The estimates are derived from a model </w:t>
            </w:r>
            <w:proofErr w:type="gramStart"/>
            <w:r w:rsidRPr="000E49B7">
              <w:rPr>
                <w:rFonts w:ascii="Times New Roman" w:eastAsia="Malgun Gothic" w:hAnsi="Times New Roman" w:cs="Times New Roman"/>
                <w:color w:val="000000"/>
                <w:sz w:val="20"/>
                <w:szCs w:val="20"/>
              </w:rPr>
              <w:t>similar to</w:t>
            </w:r>
            <w:proofErr w:type="gramEnd"/>
            <w:r w:rsidRPr="000E49B7">
              <w:rPr>
                <w:rFonts w:ascii="Times New Roman" w:eastAsia="Malgun Gothic" w:hAnsi="Times New Roman" w:cs="Times New Roman"/>
                <w:color w:val="000000"/>
                <w:sz w:val="20"/>
                <w:szCs w:val="20"/>
              </w:rPr>
              <w:t xml:space="preserve"> Equation (1) but without the inclusion of commuting zones fixed effects. Standard errors are clustered at the state level. * </w:t>
            </w:r>
            <w:proofErr w:type="gramStart"/>
            <w:r w:rsidRPr="000E49B7">
              <w:rPr>
                <w:rFonts w:ascii="Times New Roman" w:eastAsia="Malgun Gothic" w:hAnsi="Times New Roman" w:cs="Times New Roman"/>
                <w:color w:val="000000"/>
                <w:sz w:val="20"/>
                <w:szCs w:val="20"/>
              </w:rPr>
              <w:t>denotes</w:t>
            </w:r>
            <w:proofErr w:type="gramEnd"/>
            <w:r w:rsidRPr="000E49B7">
              <w:rPr>
                <w:rFonts w:ascii="Times New Roman" w:eastAsia="Malgun Gothic" w:hAnsi="Times New Roman" w:cs="Times New Roman"/>
                <w:color w:val="000000"/>
                <w:sz w:val="20"/>
                <w:szCs w:val="20"/>
              </w:rPr>
              <w:t xml:space="preserve"> significance at the ten percent level, ** denotes at the five percent level, and *** denotes at the one percent level.</w:t>
            </w:r>
          </w:p>
        </w:tc>
      </w:tr>
    </w:tbl>
    <w:p w14:paraId="0D196B49" w14:textId="057B3FDB" w:rsidR="000E49B7" w:rsidRDefault="000E49B7" w:rsidP="000E49B7">
      <w:pPr>
        <w:widowControl w:val="0"/>
        <w:autoSpaceDE w:val="0"/>
        <w:autoSpaceDN w:val="0"/>
        <w:adjustRightInd w:val="0"/>
        <w:spacing w:line="240" w:lineRule="auto"/>
        <w:jc w:val="both"/>
        <w:rPr>
          <w:rFonts w:ascii="Times New Roman" w:eastAsia="CMR10" w:hAnsi="Times New Roman" w:cs="Times New Roman"/>
          <w:sz w:val="24"/>
          <w:szCs w:val="24"/>
          <w14:ligatures w14:val="standardContextual"/>
        </w:rPr>
      </w:pPr>
    </w:p>
    <w:p w14:paraId="644D5BAB" w14:textId="77777777" w:rsidR="000E49B7" w:rsidRDefault="000E49B7">
      <w:pPr>
        <w:jc w:val="both"/>
        <w:rPr>
          <w:rFonts w:ascii="Times New Roman" w:eastAsia="CMR10" w:hAnsi="Times New Roman" w:cs="Times New Roman"/>
          <w:sz w:val="24"/>
          <w:szCs w:val="24"/>
          <w14:ligatures w14:val="standardContextual"/>
        </w:rPr>
      </w:pPr>
      <w:r>
        <w:rPr>
          <w:rFonts w:ascii="Times New Roman" w:eastAsia="CMR10" w:hAnsi="Times New Roman" w:cs="Times New Roman"/>
          <w:sz w:val="24"/>
          <w:szCs w:val="24"/>
          <w14:ligatures w14:val="standardContextual"/>
        </w:rPr>
        <w:br w:type="page"/>
      </w:r>
    </w:p>
    <w:p w14:paraId="5B46F607" w14:textId="77777777" w:rsidR="000E49B7" w:rsidRDefault="000E49B7" w:rsidP="000E49B7">
      <w:pPr>
        <w:spacing w:after="0" w:line="240" w:lineRule="auto"/>
        <w:jc w:val="center"/>
        <w:rPr>
          <w:rFonts w:ascii="Times New Roman" w:eastAsia="Malgun Gothic" w:hAnsi="Times New Roman" w:cs="Times New Roman"/>
          <w:b/>
          <w:bCs/>
          <w:color w:val="000000"/>
          <w:sz w:val="24"/>
          <w:szCs w:val="24"/>
        </w:rPr>
        <w:sectPr w:rsidR="000E49B7">
          <w:pgSz w:w="11906" w:h="16838"/>
          <w:pgMar w:top="1440" w:right="1440" w:bottom="1440" w:left="1440" w:header="851" w:footer="992" w:gutter="0"/>
          <w:cols w:space="425"/>
          <w:docGrid w:linePitch="360"/>
        </w:sectPr>
      </w:pPr>
    </w:p>
    <w:tbl>
      <w:tblPr>
        <w:tblW w:w="11282" w:type="dxa"/>
        <w:jc w:val="center"/>
        <w:tblCellMar>
          <w:left w:w="99" w:type="dxa"/>
          <w:right w:w="99" w:type="dxa"/>
        </w:tblCellMar>
        <w:tblLook w:val="04A0" w:firstRow="1" w:lastRow="0" w:firstColumn="1" w:lastColumn="0" w:noHBand="0" w:noVBand="1"/>
      </w:tblPr>
      <w:tblGrid>
        <w:gridCol w:w="2255"/>
        <w:gridCol w:w="1535"/>
        <w:gridCol w:w="1535"/>
        <w:gridCol w:w="1535"/>
        <w:gridCol w:w="1352"/>
        <w:gridCol w:w="1535"/>
        <w:gridCol w:w="1535"/>
      </w:tblGrid>
      <w:tr w:rsidR="000E49B7" w:rsidRPr="000E49B7" w14:paraId="7A893CD2" w14:textId="77777777" w:rsidTr="000E49B7">
        <w:trPr>
          <w:trHeight w:val="345"/>
          <w:jc w:val="center"/>
        </w:trPr>
        <w:tc>
          <w:tcPr>
            <w:tcW w:w="11282" w:type="dxa"/>
            <w:gridSpan w:val="7"/>
            <w:tcBorders>
              <w:top w:val="nil"/>
              <w:left w:val="nil"/>
              <w:bottom w:val="double" w:sz="6" w:space="0" w:color="auto"/>
              <w:right w:val="nil"/>
            </w:tcBorders>
            <w:shd w:val="clear" w:color="auto" w:fill="auto"/>
            <w:noWrap/>
            <w:vAlign w:val="bottom"/>
            <w:hideMark/>
          </w:tcPr>
          <w:p w14:paraId="022FB040"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lastRenderedPageBreak/>
              <w:t>Table A5: Alternative Categorizations of Treatment and Control Groups</w:t>
            </w:r>
          </w:p>
        </w:tc>
      </w:tr>
      <w:tr w:rsidR="000E49B7" w:rsidRPr="000E49B7" w14:paraId="6FD8CF26" w14:textId="77777777" w:rsidTr="000E49B7">
        <w:trPr>
          <w:trHeight w:val="345"/>
          <w:jc w:val="center"/>
        </w:trPr>
        <w:tc>
          <w:tcPr>
            <w:tcW w:w="2255" w:type="dxa"/>
            <w:tcBorders>
              <w:top w:val="nil"/>
              <w:left w:val="nil"/>
              <w:bottom w:val="nil"/>
              <w:right w:val="nil"/>
            </w:tcBorders>
            <w:shd w:val="clear" w:color="auto" w:fill="auto"/>
            <w:noWrap/>
            <w:vAlign w:val="bottom"/>
            <w:hideMark/>
          </w:tcPr>
          <w:p w14:paraId="7DEF3F9F"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p>
        </w:tc>
        <w:tc>
          <w:tcPr>
            <w:tcW w:w="9027" w:type="dxa"/>
            <w:gridSpan w:val="6"/>
            <w:tcBorders>
              <w:top w:val="double" w:sz="6" w:space="0" w:color="auto"/>
              <w:left w:val="nil"/>
              <w:bottom w:val="single" w:sz="4" w:space="0" w:color="auto"/>
              <w:right w:val="nil"/>
            </w:tcBorders>
            <w:shd w:val="clear" w:color="auto" w:fill="auto"/>
            <w:noWrap/>
            <w:vAlign w:val="bottom"/>
            <w:hideMark/>
          </w:tcPr>
          <w:p w14:paraId="5E68A6EE" w14:textId="188A0ACD"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Dep. Variable: ln</w:t>
            </w:r>
            <w:r>
              <w:rPr>
                <w:rFonts w:ascii="Times New Roman" w:eastAsia="Malgun Gothic" w:hAnsi="Times New Roman" w:cs="Times New Roman"/>
                <w:color w:val="000000"/>
                <w:sz w:val="24"/>
                <w:szCs w:val="24"/>
              </w:rPr>
              <w:t xml:space="preserve"> </w:t>
            </w:r>
            <w:r w:rsidRPr="000E49B7">
              <w:rPr>
                <w:rFonts w:ascii="Times New Roman" w:eastAsia="Malgun Gothic" w:hAnsi="Times New Roman" w:cs="Times New Roman"/>
                <w:color w:val="000000"/>
                <w:sz w:val="24"/>
                <w:szCs w:val="24"/>
              </w:rPr>
              <w:t>(Annual Earnings)</w:t>
            </w:r>
          </w:p>
        </w:tc>
      </w:tr>
      <w:tr w:rsidR="000E49B7" w:rsidRPr="000E49B7" w14:paraId="6FC58E3F" w14:textId="77777777" w:rsidTr="000E49B7">
        <w:trPr>
          <w:trHeight w:val="330"/>
          <w:jc w:val="center"/>
        </w:trPr>
        <w:tc>
          <w:tcPr>
            <w:tcW w:w="2255" w:type="dxa"/>
            <w:tcBorders>
              <w:top w:val="nil"/>
              <w:left w:val="nil"/>
              <w:bottom w:val="nil"/>
              <w:right w:val="nil"/>
            </w:tcBorders>
            <w:shd w:val="clear" w:color="auto" w:fill="auto"/>
            <w:noWrap/>
            <w:vAlign w:val="bottom"/>
            <w:hideMark/>
          </w:tcPr>
          <w:p w14:paraId="6B8FEB1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535" w:type="dxa"/>
            <w:tcBorders>
              <w:top w:val="nil"/>
              <w:left w:val="nil"/>
              <w:bottom w:val="nil"/>
              <w:right w:val="nil"/>
            </w:tcBorders>
            <w:shd w:val="clear" w:color="auto" w:fill="auto"/>
            <w:noWrap/>
            <w:vAlign w:val="bottom"/>
            <w:hideMark/>
          </w:tcPr>
          <w:p w14:paraId="0B3A24ED"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Women</w:t>
            </w:r>
          </w:p>
        </w:tc>
        <w:tc>
          <w:tcPr>
            <w:tcW w:w="1535" w:type="dxa"/>
            <w:tcBorders>
              <w:top w:val="nil"/>
              <w:left w:val="nil"/>
              <w:bottom w:val="nil"/>
              <w:right w:val="nil"/>
            </w:tcBorders>
            <w:shd w:val="clear" w:color="auto" w:fill="auto"/>
            <w:noWrap/>
            <w:vAlign w:val="bottom"/>
            <w:hideMark/>
          </w:tcPr>
          <w:p w14:paraId="50A756A9"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Men</w:t>
            </w:r>
          </w:p>
        </w:tc>
        <w:tc>
          <w:tcPr>
            <w:tcW w:w="1535" w:type="dxa"/>
            <w:tcBorders>
              <w:top w:val="nil"/>
              <w:left w:val="nil"/>
              <w:bottom w:val="nil"/>
              <w:right w:val="nil"/>
            </w:tcBorders>
            <w:shd w:val="clear" w:color="auto" w:fill="auto"/>
            <w:noWrap/>
            <w:vAlign w:val="bottom"/>
            <w:hideMark/>
          </w:tcPr>
          <w:p w14:paraId="3EB484EF"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Women</w:t>
            </w:r>
          </w:p>
        </w:tc>
        <w:tc>
          <w:tcPr>
            <w:tcW w:w="1352" w:type="dxa"/>
            <w:tcBorders>
              <w:top w:val="nil"/>
              <w:left w:val="nil"/>
              <w:bottom w:val="nil"/>
              <w:right w:val="nil"/>
            </w:tcBorders>
            <w:shd w:val="clear" w:color="auto" w:fill="auto"/>
            <w:noWrap/>
            <w:vAlign w:val="bottom"/>
            <w:hideMark/>
          </w:tcPr>
          <w:p w14:paraId="2E5CA21D"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Men</w:t>
            </w:r>
          </w:p>
        </w:tc>
        <w:tc>
          <w:tcPr>
            <w:tcW w:w="1535" w:type="dxa"/>
            <w:tcBorders>
              <w:top w:val="nil"/>
              <w:left w:val="nil"/>
              <w:bottom w:val="nil"/>
              <w:right w:val="nil"/>
            </w:tcBorders>
            <w:shd w:val="clear" w:color="auto" w:fill="auto"/>
            <w:noWrap/>
            <w:vAlign w:val="bottom"/>
            <w:hideMark/>
          </w:tcPr>
          <w:p w14:paraId="32C3EB7B"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Women</w:t>
            </w:r>
          </w:p>
        </w:tc>
        <w:tc>
          <w:tcPr>
            <w:tcW w:w="1535" w:type="dxa"/>
            <w:tcBorders>
              <w:top w:val="nil"/>
              <w:left w:val="nil"/>
              <w:bottom w:val="nil"/>
              <w:right w:val="nil"/>
            </w:tcBorders>
            <w:shd w:val="clear" w:color="auto" w:fill="auto"/>
            <w:noWrap/>
            <w:vAlign w:val="bottom"/>
            <w:hideMark/>
          </w:tcPr>
          <w:p w14:paraId="212DA953"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Men</w:t>
            </w:r>
          </w:p>
        </w:tc>
      </w:tr>
      <w:tr w:rsidR="000E49B7" w:rsidRPr="000E49B7" w14:paraId="051EECF4" w14:textId="77777777" w:rsidTr="000E49B7">
        <w:trPr>
          <w:trHeight w:val="330"/>
          <w:jc w:val="center"/>
        </w:trPr>
        <w:tc>
          <w:tcPr>
            <w:tcW w:w="2255" w:type="dxa"/>
            <w:tcBorders>
              <w:top w:val="nil"/>
              <w:left w:val="nil"/>
              <w:bottom w:val="single" w:sz="4" w:space="0" w:color="auto"/>
              <w:right w:val="nil"/>
            </w:tcBorders>
            <w:shd w:val="clear" w:color="auto" w:fill="auto"/>
            <w:noWrap/>
            <w:vAlign w:val="bottom"/>
            <w:hideMark/>
          </w:tcPr>
          <w:p w14:paraId="08EEF077"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535" w:type="dxa"/>
            <w:tcBorders>
              <w:top w:val="nil"/>
              <w:left w:val="nil"/>
              <w:bottom w:val="single" w:sz="4" w:space="0" w:color="auto"/>
              <w:right w:val="nil"/>
            </w:tcBorders>
            <w:shd w:val="clear" w:color="auto" w:fill="auto"/>
            <w:noWrap/>
            <w:vAlign w:val="bottom"/>
            <w:hideMark/>
          </w:tcPr>
          <w:p w14:paraId="518BB62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w:t>
            </w:r>
          </w:p>
        </w:tc>
        <w:tc>
          <w:tcPr>
            <w:tcW w:w="1535" w:type="dxa"/>
            <w:tcBorders>
              <w:top w:val="nil"/>
              <w:left w:val="nil"/>
              <w:bottom w:val="single" w:sz="4" w:space="0" w:color="auto"/>
              <w:right w:val="nil"/>
            </w:tcBorders>
            <w:shd w:val="clear" w:color="auto" w:fill="auto"/>
            <w:noWrap/>
            <w:vAlign w:val="bottom"/>
            <w:hideMark/>
          </w:tcPr>
          <w:p w14:paraId="77D80DD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w:t>
            </w:r>
          </w:p>
        </w:tc>
        <w:tc>
          <w:tcPr>
            <w:tcW w:w="1535" w:type="dxa"/>
            <w:tcBorders>
              <w:top w:val="nil"/>
              <w:left w:val="nil"/>
              <w:bottom w:val="single" w:sz="4" w:space="0" w:color="auto"/>
              <w:right w:val="nil"/>
            </w:tcBorders>
            <w:shd w:val="clear" w:color="auto" w:fill="auto"/>
            <w:noWrap/>
            <w:vAlign w:val="bottom"/>
            <w:hideMark/>
          </w:tcPr>
          <w:p w14:paraId="369723B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w:t>
            </w:r>
          </w:p>
        </w:tc>
        <w:tc>
          <w:tcPr>
            <w:tcW w:w="1352" w:type="dxa"/>
            <w:tcBorders>
              <w:top w:val="nil"/>
              <w:left w:val="nil"/>
              <w:bottom w:val="single" w:sz="4" w:space="0" w:color="auto"/>
              <w:right w:val="nil"/>
            </w:tcBorders>
            <w:shd w:val="clear" w:color="auto" w:fill="auto"/>
            <w:noWrap/>
            <w:vAlign w:val="bottom"/>
            <w:hideMark/>
          </w:tcPr>
          <w:p w14:paraId="5F41985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(4)</w:t>
            </w:r>
          </w:p>
        </w:tc>
        <w:tc>
          <w:tcPr>
            <w:tcW w:w="1535" w:type="dxa"/>
            <w:tcBorders>
              <w:top w:val="nil"/>
              <w:left w:val="nil"/>
              <w:bottom w:val="single" w:sz="4" w:space="0" w:color="auto"/>
              <w:right w:val="nil"/>
            </w:tcBorders>
            <w:shd w:val="clear" w:color="auto" w:fill="auto"/>
            <w:noWrap/>
            <w:vAlign w:val="bottom"/>
            <w:hideMark/>
          </w:tcPr>
          <w:p w14:paraId="727D32C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(5)</w:t>
            </w:r>
          </w:p>
        </w:tc>
        <w:tc>
          <w:tcPr>
            <w:tcW w:w="1535" w:type="dxa"/>
            <w:tcBorders>
              <w:top w:val="nil"/>
              <w:left w:val="nil"/>
              <w:bottom w:val="single" w:sz="4" w:space="0" w:color="auto"/>
              <w:right w:val="nil"/>
            </w:tcBorders>
            <w:shd w:val="clear" w:color="auto" w:fill="auto"/>
            <w:noWrap/>
            <w:vAlign w:val="bottom"/>
            <w:hideMark/>
          </w:tcPr>
          <w:p w14:paraId="481267A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(6)</w:t>
            </w:r>
          </w:p>
        </w:tc>
      </w:tr>
      <w:tr w:rsidR="000E49B7" w:rsidRPr="000E49B7" w14:paraId="75F88386" w14:textId="77777777" w:rsidTr="000E49B7">
        <w:trPr>
          <w:trHeight w:val="330"/>
          <w:jc w:val="center"/>
        </w:trPr>
        <w:tc>
          <w:tcPr>
            <w:tcW w:w="2255" w:type="dxa"/>
            <w:tcBorders>
              <w:top w:val="nil"/>
              <w:left w:val="nil"/>
              <w:bottom w:val="nil"/>
              <w:right w:val="nil"/>
            </w:tcBorders>
            <w:shd w:val="clear" w:color="auto" w:fill="auto"/>
            <w:noWrap/>
            <w:vAlign w:val="bottom"/>
            <w:hideMark/>
          </w:tcPr>
          <w:p w14:paraId="0E74EF1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535" w:type="dxa"/>
            <w:tcBorders>
              <w:top w:val="nil"/>
              <w:left w:val="nil"/>
              <w:bottom w:val="nil"/>
              <w:right w:val="nil"/>
            </w:tcBorders>
            <w:shd w:val="clear" w:color="auto" w:fill="auto"/>
            <w:noWrap/>
            <w:vAlign w:val="bottom"/>
            <w:hideMark/>
          </w:tcPr>
          <w:p w14:paraId="3705CDEE"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74B9E53F"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1A9C8E29"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03068082"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2B7CA4E3"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67CE7201"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1B9FB6AB" w14:textId="77777777" w:rsidTr="000E49B7">
        <w:trPr>
          <w:trHeight w:val="330"/>
          <w:jc w:val="center"/>
        </w:trPr>
        <w:tc>
          <w:tcPr>
            <w:tcW w:w="2255" w:type="dxa"/>
            <w:tcBorders>
              <w:top w:val="nil"/>
              <w:left w:val="nil"/>
              <w:bottom w:val="nil"/>
              <w:right w:val="nil"/>
            </w:tcBorders>
            <w:shd w:val="clear" w:color="auto" w:fill="auto"/>
            <w:noWrap/>
            <w:vAlign w:val="bottom"/>
            <w:hideMark/>
          </w:tcPr>
          <w:p w14:paraId="59DAB2D9"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STEM*CB</w:t>
            </w:r>
          </w:p>
        </w:tc>
        <w:tc>
          <w:tcPr>
            <w:tcW w:w="1535" w:type="dxa"/>
            <w:tcBorders>
              <w:top w:val="nil"/>
              <w:left w:val="nil"/>
              <w:bottom w:val="nil"/>
              <w:right w:val="nil"/>
            </w:tcBorders>
            <w:shd w:val="clear" w:color="auto" w:fill="auto"/>
            <w:noWrap/>
            <w:vAlign w:val="bottom"/>
            <w:hideMark/>
          </w:tcPr>
          <w:p w14:paraId="360C22B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0.080***</w:t>
            </w:r>
          </w:p>
        </w:tc>
        <w:tc>
          <w:tcPr>
            <w:tcW w:w="1535" w:type="dxa"/>
            <w:tcBorders>
              <w:top w:val="nil"/>
              <w:left w:val="nil"/>
              <w:bottom w:val="nil"/>
              <w:right w:val="nil"/>
            </w:tcBorders>
            <w:shd w:val="clear" w:color="auto" w:fill="auto"/>
            <w:noWrap/>
            <w:vAlign w:val="bottom"/>
            <w:hideMark/>
          </w:tcPr>
          <w:p w14:paraId="0A9DD32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0.026</w:t>
            </w:r>
          </w:p>
        </w:tc>
        <w:tc>
          <w:tcPr>
            <w:tcW w:w="1535" w:type="dxa"/>
            <w:tcBorders>
              <w:top w:val="nil"/>
              <w:left w:val="nil"/>
              <w:bottom w:val="nil"/>
              <w:right w:val="nil"/>
            </w:tcBorders>
            <w:shd w:val="clear" w:color="auto" w:fill="auto"/>
            <w:noWrap/>
            <w:vAlign w:val="bottom"/>
            <w:hideMark/>
          </w:tcPr>
          <w:p w14:paraId="63BA49D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0.026</w:t>
            </w:r>
          </w:p>
        </w:tc>
        <w:tc>
          <w:tcPr>
            <w:tcW w:w="1352" w:type="dxa"/>
            <w:tcBorders>
              <w:top w:val="nil"/>
              <w:left w:val="nil"/>
              <w:bottom w:val="nil"/>
              <w:right w:val="nil"/>
            </w:tcBorders>
            <w:shd w:val="clear" w:color="auto" w:fill="auto"/>
            <w:noWrap/>
            <w:vAlign w:val="bottom"/>
            <w:hideMark/>
          </w:tcPr>
          <w:p w14:paraId="7CB0CD8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0.013</w:t>
            </w:r>
          </w:p>
        </w:tc>
        <w:tc>
          <w:tcPr>
            <w:tcW w:w="1535" w:type="dxa"/>
            <w:tcBorders>
              <w:top w:val="nil"/>
              <w:left w:val="nil"/>
              <w:bottom w:val="nil"/>
              <w:right w:val="nil"/>
            </w:tcBorders>
            <w:shd w:val="clear" w:color="auto" w:fill="auto"/>
            <w:noWrap/>
            <w:vAlign w:val="bottom"/>
            <w:hideMark/>
          </w:tcPr>
          <w:p w14:paraId="25C95B8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0.077***</w:t>
            </w:r>
          </w:p>
        </w:tc>
        <w:tc>
          <w:tcPr>
            <w:tcW w:w="1535" w:type="dxa"/>
            <w:tcBorders>
              <w:top w:val="nil"/>
              <w:left w:val="nil"/>
              <w:bottom w:val="nil"/>
              <w:right w:val="nil"/>
            </w:tcBorders>
            <w:shd w:val="clear" w:color="auto" w:fill="auto"/>
            <w:noWrap/>
            <w:vAlign w:val="bottom"/>
            <w:hideMark/>
          </w:tcPr>
          <w:p w14:paraId="38C93FC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0.024</w:t>
            </w:r>
          </w:p>
        </w:tc>
      </w:tr>
      <w:tr w:rsidR="000E49B7" w:rsidRPr="000E49B7" w14:paraId="373E2AE2" w14:textId="77777777" w:rsidTr="000E49B7">
        <w:trPr>
          <w:trHeight w:val="330"/>
          <w:jc w:val="center"/>
        </w:trPr>
        <w:tc>
          <w:tcPr>
            <w:tcW w:w="2255" w:type="dxa"/>
            <w:tcBorders>
              <w:top w:val="nil"/>
              <w:left w:val="nil"/>
              <w:bottom w:val="nil"/>
              <w:right w:val="nil"/>
            </w:tcBorders>
            <w:shd w:val="clear" w:color="auto" w:fill="auto"/>
            <w:noWrap/>
            <w:vAlign w:val="bottom"/>
            <w:hideMark/>
          </w:tcPr>
          <w:p w14:paraId="592F72A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535" w:type="dxa"/>
            <w:tcBorders>
              <w:top w:val="nil"/>
              <w:left w:val="nil"/>
              <w:bottom w:val="nil"/>
              <w:right w:val="nil"/>
            </w:tcBorders>
            <w:shd w:val="clear" w:color="auto" w:fill="auto"/>
            <w:noWrap/>
            <w:vAlign w:val="bottom"/>
            <w:hideMark/>
          </w:tcPr>
          <w:p w14:paraId="0C4E0A7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(0.023)</w:t>
            </w:r>
          </w:p>
        </w:tc>
        <w:tc>
          <w:tcPr>
            <w:tcW w:w="1535" w:type="dxa"/>
            <w:tcBorders>
              <w:top w:val="nil"/>
              <w:left w:val="nil"/>
              <w:bottom w:val="nil"/>
              <w:right w:val="nil"/>
            </w:tcBorders>
            <w:shd w:val="clear" w:color="auto" w:fill="auto"/>
            <w:noWrap/>
            <w:vAlign w:val="bottom"/>
            <w:hideMark/>
          </w:tcPr>
          <w:p w14:paraId="28F37D7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(0.017)</w:t>
            </w:r>
          </w:p>
        </w:tc>
        <w:tc>
          <w:tcPr>
            <w:tcW w:w="1535" w:type="dxa"/>
            <w:tcBorders>
              <w:top w:val="nil"/>
              <w:left w:val="nil"/>
              <w:bottom w:val="nil"/>
              <w:right w:val="nil"/>
            </w:tcBorders>
            <w:shd w:val="clear" w:color="auto" w:fill="auto"/>
            <w:noWrap/>
            <w:vAlign w:val="bottom"/>
            <w:hideMark/>
          </w:tcPr>
          <w:p w14:paraId="20215E6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(0.021)</w:t>
            </w:r>
          </w:p>
        </w:tc>
        <w:tc>
          <w:tcPr>
            <w:tcW w:w="1352" w:type="dxa"/>
            <w:tcBorders>
              <w:top w:val="nil"/>
              <w:left w:val="nil"/>
              <w:bottom w:val="nil"/>
              <w:right w:val="nil"/>
            </w:tcBorders>
            <w:shd w:val="clear" w:color="auto" w:fill="auto"/>
            <w:noWrap/>
            <w:vAlign w:val="bottom"/>
            <w:hideMark/>
          </w:tcPr>
          <w:p w14:paraId="3B3062C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(0.017)</w:t>
            </w:r>
          </w:p>
        </w:tc>
        <w:tc>
          <w:tcPr>
            <w:tcW w:w="1535" w:type="dxa"/>
            <w:tcBorders>
              <w:top w:val="nil"/>
              <w:left w:val="nil"/>
              <w:bottom w:val="nil"/>
              <w:right w:val="nil"/>
            </w:tcBorders>
            <w:shd w:val="clear" w:color="auto" w:fill="auto"/>
            <w:noWrap/>
            <w:vAlign w:val="bottom"/>
            <w:hideMark/>
          </w:tcPr>
          <w:p w14:paraId="4A4A245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(0.025)</w:t>
            </w:r>
          </w:p>
        </w:tc>
        <w:tc>
          <w:tcPr>
            <w:tcW w:w="1535" w:type="dxa"/>
            <w:tcBorders>
              <w:top w:val="nil"/>
              <w:left w:val="nil"/>
              <w:bottom w:val="nil"/>
              <w:right w:val="nil"/>
            </w:tcBorders>
            <w:shd w:val="clear" w:color="auto" w:fill="auto"/>
            <w:noWrap/>
            <w:vAlign w:val="bottom"/>
            <w:hideMark/>
          </w:tcPr>
          <w:p w14:paraId="1960F25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(0.017)</w:t>
            </w:r>
          </w:p>
        </w:tc>
      </w:tr>
      <w:tr w:rsidR="000E49B7" w:rsidRPr="000E49B7" w14:paraId="22953021" w14:textId="77777777" w:rsidTr="000E49B7">
        <w:trPr>
          <w:trHeight w:val="330"/>
          <w:jc w:val="center"/>
        </w:trPr>
        <w:tc>
          <w:tcPr>
            <w:tcW w:w="2255" w:type="dxa"/>
            <w:tcBorders>
              <w:top w:val="nil"/>
              <w:left w:val="nil"/>
              <w:bottom w:val="nil"/>
              <w:right w:val="nil"/>
            </w:tcBorders>
            <w:shd w:val="clear" w:color="auto" w:fill="auto"/>
            <w:noWrap/>
            <w:vAlign w:val="bottom"/>
            <w:hideMark/>
          </w:tcPr>
          <w:p w14:paraId="66FFDED1"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
        </w:tc>
        <w:tc>
          <w:tcPr>
            <w:tcW w:w="1535" w:type="dxa"/>
            <w:tcBorders>
              <w:top w:val="nil"/>
              <w:left w:val="nil"/>
              <w:bottom w:val="nil"/>
              <w:right w:val="nil"/>
            </w:tcBorders>
            <w:shd w:val="clear" w:color="auto" w:fill="auto"/>
            <w:noWrap/>
            <w:vAlign w:val="bottom"/>
            <w:hideMark/>
          </w:tcPr>
          <w:p w14:paraId="0113D30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-0.119***</w:t>
            </w:r>
          </w:p>
        </w:tc>
        <w:tc>
          <w:tcPr>
            <w:tcW w:w="1535" w:type="dxa"/>
            <w:tcBorders>
              <w:top w:val="nil"/>
              <w:left w:val="nil"/>
              <w:bottom w:val="nil"/>
              <w:right w:val="nil"/>
            </w:tcBorders>
            <w:shd w:val="clear" w:color="auto" w:fill="auto"/>
            <w:noWrap/>
            <w:vAlign w:val="bottom"/>
            <w:hideMark/>
          </w:tcPr>
          <w:p w14:paraId="7093FBA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-0.036***</w:t>
            </w:r>
          </w:p>
        </w:tc>
        <w:tc>
          <w:tcPr>
            <w:tcW w:w="1535" w:type="dxa"/>
            <w:tcBorders>
              <w:top w:val="nil"/>
              <w:left w:val="nil"/>
              <w:bottom w:val="nil"/>
              <w:right w:val="nil"/>
            </w:tcBorders>
            <w:shd w:val="clear" w:color="auto" w:fill="auto"/>
            <w:noWrap/>
            <w:vAlign w:val="bottom"/>
            <w:hideMark/>
          </w:tcPr>
          <w:p w14:paraId="782AFBE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-0.115***</w:t>
            </w:r>
          </w:p>
        </w:tc>
        <w:tc>
          <w:tcPr>
            <w:tcW w:w="1352" w:type="dxa"/>
            <w:tcBorders>
              <w:top w:val="nil"/>
              <w:left w:val="nil"/>
              <w:bottom w:val="nil"/>
              <w:right w:val="nil"/>
            </w:tcBorders>
            <w:shd w:val="clear" w:color="auto" w:fill="auto"/>
            <w:noWrap/>
            <w:vAlign w:val="bottom"/>
            <w:hideMark/>
          </w:tcPr>
          <w:p w14:paraId="240ED36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-0.029**</w:t>
            </w:r>
          </w:p>
        </w:tc>
        <w:tc>
          <w:tcPr>
            <w:tcW w:w="1535" w:type="dxa"/>
            <w:tcBorders>
              <w:top w:val="nil"/>
              <w:left w:val="nil"/>
              <w:bottom w:val="nil"/>
              <w:right w:val="nil"/>
            </w:tcBorders>
            <w:shd w:val="clear" w:color="auto" w:fill="auto"/>
            <w:noWrap/>
            <w:vAlign w:val="bottom"/>
            <w:hideMark/>
          </w:tcPr>
          <w:p w14:paraId="67D1652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-0.123***</w:t>
            </w:r>
          </w:p>
        </w:tc>
        <w:tc>
          <w:tcPr>
            <w:tcW w:w="1535" w:type="dxa"/>
            <w:tcBorders>
              <w:top w:val="nil"/>
              <w:left w:val="nil"/>
              <w:bottom w:val="nil"/>
              <w:right w:val="nil"/>
            </w:tcBorders>
            <w:shd w:val="clear" w:color="auto" w:fill="auto"/>
            <w:noWrap/>
            <w:vAlign w:val="bottom"/>
            <w:hideMark/>
          </w:tcPr>
          <w:p w14:paraId="67221BE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-0.036***</w:t>
            </w:r>
          </w:p>
        </w:tc>
      </w:tr>
      <w:tr w:rsidR="000E49B7" w:rsidRPr="000E49B7" w14:paraId="7EED55DB" w14:textId="77777777" w:rsidTr="000E49B7">
        <w:trPr>
          <w:trHeight w:val="330"/>
          <w:jc w:val="center"/>
        </w:trPr>
        <w:tc>
          <w:tcPr>
            <w:tcW w:w="2255" w:type="dxa"/>
            <w:tcBorders>
              <w:top w:val="nil"/>
              <w:left w:val="nil"/>
              <w:bottom w:val="nil"/>
              <w:right w:val="nil"/>
            </w:tcBorders>
            <w:shd w:val="clear" w:color="auto" w:fill="auto"/>
            <w:noWrap/>
            <w:vAlign w:val="bottom"/>
            <w:hideMark/>
          </w:tcPr>
          <w:p w14:paraId="5064393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535" w:type="dxa"/>
            <w:tcBorders>
              <w:top w:val="nil"/>
              <w:left w:val="nil"/>
              <w:bottom w:val="nil"/>
              <w:right w:val="nil"/>
            </w:tcBorders>
            <w:shd w:val="clear" w:color="auto" w:fill="auto"/>
            <w:noWrap/>
            <w:vAlign w:val="bottom"/>
            <w:hideMark/>
          </w:tcPr>
          <w:p w14:paraId="2FF36A3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(0.014)</w:t>
            </w:r>
          </w:p>
        </w:tc>
        <w:tc>
          <w:tcPr>
            <w:tcW w:w="1535" w:type="dxa"/>
            <w:tcBorders>
              <w:top w:val="nil"/>
              <w:left w:val="nil"/>
              <w:bottom w:val="nil"/>
              <w:right w:val="nil"/>
            </w:tcBorders>
            <w:shd w:val="clear" w:color="auto" w:fill="auto"/>
            <w:noWrap/>
            <w:vAlign w:val="bottom"/>
            <w:hideMark/>
          </w:tcPr>
          <w:p w14:paraId="283E902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(0.011)</w:t>
            </w:r>
          </w:p>
        </w:tc>
        <w:tc>
          <w:tcPr>
            <w:tcW w:w="1535" w:type="dxa"/>
            <w:tcBorders>
              <w:top w:val="nil"/>
              <w:left w:val="nil"/>
              <w:bottom w:val="nil"/>
              <w:right w:val="nil"/>
            </w:tcBorders>
            <w:shd w:val="clear" w:color="auto" w:fill="auto"/>
            <w:noWrap/>
            <w:vAlign w:val="bottom"/>
            <w:hideMark/>
          </w:tcPr>
          <w:p w14:paraId="032D0FA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(0.014)</w:t>
            </w:r>
          </w:p>
        </w:tc>
        <w:tc>
          <w:tcPr>
            <w:tcW w:w="1352" w:type="dxa"/>
            <w:tcBorders>
              <w:top w:val="nil"/>
              <w:left w:val="nil"/>
              <w:bottom w:val="nil"/>
              <w:right w:val="nil"/>
            </w:tcBorders>
            <w:shd w:val="clear" w:color="auto" w:fill="auto"/>
            <w:noWrap/>
            <w:vAlign w:val="bottom"/>
            <w:hideMark/>
          </w:tcPr>
          <w:p w14:paraId="72BE00D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(0.011)</w:t>
            </w:r>
          </w:p>
        </w:tc>
        <w:tc>
          <w:tcPr>
            <w:tcW w:w="1535" w:type="dxa"/>
            <w:tcBorders>
              <w:top w:val="nil"/>
              <w:left w:val="nil"/>
              <w:bottom w:val="nil"/>
              <w:right w:val="nil"/>
            </w:tcBorders>
            <w:shd w:val="clear" w:color="auto" w:fill="auto"/>
            <w:noWrap/>
            <w:vAlign w:val="bottom"/>
            <w:hideMark/>
          </w:tcPr>
          <w:p w14:paraId="7E33E28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(0.017)</w:t>
            </w:r>
          </w:p>
        </w:tc>
        <w:tc>
          <w:tcPr>
            <w:tcW w:w="1535" w:type="dxa"/>
            <w:tcBorders>
              <w:top w:val="nil"/>
              <w:left w:val="nil"/>
              <w:bottom w:val="nil"/>
              <w:right w:val="nil"/>
            </w:tcBorders>
            <w:shd w:val="clear" w:color="auto" w:fill="auto"/>
            <w:noWrap/>
            <w:vAlign w:val="bottom"/>
            <w:hideMark/>
          </w:tcPr>
          <w:p w14:paraId="2786F18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(0.013)</w:t>
            </w:r>
          </w:p>
        </w:tc>
      </w:tr>
      <w:tr w:rsidR="000E49B7" w:rsidRPr="000E49B7" w14:paraId="72822524" w14:textId="77777777" w:rsidTr="000E49B7">
        <w:trPr>
          <w:trHeight w:val="330"/>
          <w:jc w:val="center"/>
        </w:trPr>
        <w:tc>
          <w:tcPr>
            <w:tcW w:w="2255" w:type="dxa"/>
            <w:tcBorders>
              <w:top w:val="nil"/>
              <w:left w:val="nil"/>
              <w:bottom w:val="nil"/>
              <w:right w:val="nil"/>
            </w:tcBorders>
            <w:shd w:val="clear" w:color="auto" w:fill="auto"/>
            <w:noWrap/>
            <w:vAlign w:val="bottom"/>
            <w:hideMark/>
          </w:tcPr>
          <w:p w14:paraId="7203B62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535" w:type="dxa"/>
            <w:tcBorders>
              <w:top w:val="nil"/>
              <w:left w:val="nil"/>
              <w:bottom w:val="nil"/>
              <w:right w:val="nil"/>
            </w:tcBorders>
            <w:shd w:val="clear" w:color="auto" w:fill="auto"/>
            <w:noWrap/>
            <w:vAlign w:val="bottom"/>
            <w:hideMark/>
          </w:tcPr>
          <w:p w14:paraId="136F0EB2"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26937C23"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030E0A68"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14:paraId="4CB1FA64"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62DFBA86"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35" w:type="dxa"/>
            <w:tcBorders>
              <w:top w:val="nil"/>
              <w:left w:val="nil"/>
              <w:bottom w:val="nil"/>
              <w:right w:val="nil"/>
            </w:tcBorders>
            <w:shd w:val="clear" w:color="auto" w:fill="auto"/>
            <w:noWrap/>
            <w:vAlign w:val="bottom"/>
            <w:hideMark/>
          </w:tcPr>
          <w:p w14:paraId="3C03A29D"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r>
      <w:tr w:rsidR="000E49B7" w:rsidRPr="000E49B7" w14:paraId="524279EE" w14:textId="77777777" w:rsidTr="000E49B7">
        <w:trPr>
          <w:trHeight w:val="345"/>
          <w:jc w:val="center"/>
        </w:trPr>
        <w:tc>
          <w:tcPr>
            <w:tcW w:w="2255" w:type="dxa"/>
            <w:tcBorders>
              <w:top w:val="nil"/>
              <w:left w:val="nil"/>
              <w:bottom w:val="double" w:sz="6" w:space="0" w:color="auto"/>
              <w:right w:val="nil"/>
            </w:tcBorders>
            <w:shd w:val="clear" w:color="auto" w:fill="auto"/>
            <w:noWrap/>
            <w:vAlign w:val="bottom"/>
            <w:hideMark/>
          </w:tcPr>
          <w:p w14:paraId="05D7DA8E"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1535" w:type="dxa"/>
            <w:tcBorders>
              <w:top w:val="nil"/>
              <w:left w:val="nil"/>
              <w:bottom w:val="double" w:sz="6" w:space="0" w:color="auto"/>
              <w:right w:val="nil"/>
            </w:tcBorders>
            <w:shd w:val="clear" w:color="auto" w:fill="auto"/>
            <w:noWrap/>
            <w:vAlign w:val="bottom"/>
            <w:hideMark/>
          </w:tcPr>
          <w:p w14:paraId="44E8327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261,244</w:t>
            </w:r>
          </w:p>
        </w:tc>
        <w:tc>
          <w:tcPr>
            <w:tcW w:w="1535" w:type="dxa"/>
            <w:tcBorders>
              <w:top w:val="nil"/>
              <w:left w:val="nil"/>
              <w:bottom w:val="double" w:sz="6" w:space="0" w:color="auto"/>
              <w:right w:val="nil"/>
            </w:tcBorders>
            <w:shd w:val="clear" w:color="auto" w:fill="auto"/>
            <w:noWrap/>
            <w:vAlign w:val="bottom"/>
            <w:hideMark/>
          </w:tcPr>
          <w:p w14:paraId="1AE4872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81,922</w:t>
            </w:r>
          </w:p>
        </w:tc>
        <w:tc>
          <w:tcPr>
            <w:tcW w:w="1535" w:type="dxa"/>
            <w:tcBorders>
              <w:top w:val="nil"/>
              <w:left w:val="nil"/>
              <w:bottom w:val="double" w:sz="6" w:space="0" w:color="auto"/>
              <w:right w:val="nil"/>
            </w:tcBorders>
            <w:shd w:val="clear" w:color="auto" w:fill="auto"/>
            <w:noWrap/>
            <w:vAlign w:val="bottom"/>
            <w:hideMark/>
          </w:tcPr>
          <w:p w14:paraId="4C22869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201,754</w:t>
            </w:r>
          </w:p>
        </w:tc>
        <w:tc>
          <w:tcPr>
            <w:tcW w:w="1352" w:type="dxa"/>
            <w:tcBorders>
              <w:top w:val="nil"/>
              <w:left w:val="nil"/>
              <w:bottom w:val="double" w:sz="6" w:space="0" w:color="auto"/>
              <w:right w:val="nil"/>
            </w:tcBorders>
            <w:shd w:val="clear" w:color="auto" w:fill="auto"/>
            <w:noWrap/>
            <w:vAlign w:val="bottom"/>
            <w:hideMark/>
          </w:tcPr>
          <w:p w14:paraId="63912B8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58,440</w:t>
            </w:r>
          </w:p>
        </w:tc>
        <w:tc>
          <w:tcPr>
            <w:tcW w:w="1535" w:type="dxa"/>
            <w:tcBorders>
              <w:top w:val="nil"/>
              <w:left w:val="nil"/>
              <w:bottom w:val="double" w:sz="6" w:space="0" w:color="auto"/>
              <w:right w:val="nil"/>
            </w:tcBorders>
            <w:shd w:val="clear" w:color="auto" w:fill="auto"/>
            <w:noWrap/>
            <w:vAlign w:val="bottom"/>
            <w:hideMark/>
          </w:tcPr>
          <w:p w14:paraId="533F1B5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259,269</w:t>
            </w:r>
          </w:p>
        </w:tc>
        <w:tc>
          <w:tcPr>
            <w:tcW w:w="1535" w:type="dxa"/>
            <w:tcBorders>
              <w:top w:val="nil"/>
              <w:left w:val="nil"/>
              <w:bottom w:val="double" w:sz="6" w:space="0" w:color="auto"/>
              <w:right w:val="nil"/>
            </w:tcBorders>
            <w:shd w:val="clear" w:color="auto" w:fill="auto"/>
            <w:noWrap/>
            <w:vAlign w:val="bottom"/>
            <w:hideMark/>
          </w:tcPr>
          <w:p w14:paraId="37083E1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81,771</w:t>
            </w:r>
          </w:p>
        </w:tc>
      </w:tr>
      <w:tr w:rsidR="000E49B7" w:rsidRPr="000E49B7" w14:paraId="1153C388" w14:textId="77777777" w:rsidTr="000E49B7">
        <w:trPr>
          <w:trHeight w:val="345"/>
          <w:jc w:val="center"/>
        </w:trPr>
        <w:tc>
          <w:tcPr>
            <w:tcW w:w="2255" w:type="dxa"/>
            <w:tcBorders>
              <w:top w:val="nil"/>
              <w:left w:val="nil"/>
              <w:bottom w:val="nil"/>
              <w:right w:val="nil"/>
            </w:tcBorders>
            <w:shd w:val="clear" w:color="auto" w:fill="auto"/>
            <w:noWrap/>
            <w:vAlign w:val="bottom"/>
            <w:hideMark/>
          </w:tcPr>
          <w:p w14:paraId="5B4C722E"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Indiv</w:t>
            </w:r>
            <w:proofErr w:type="spellEnd"/>
            <w:r w:rsidRPr="000E49B7">
              <w:rPr>
                <w:rFonts w:ascii="Times New Roman" w:eastAsia="Malgun Gothic" w:hAnsi="Times New Roman" w:cs="Times New Roman"/>
                <w:color w:val="000000"/>
                <w:sz w:val="24"/>
                <w:szCs w:val="24"/>
              </w:rPr>
              <w:t>. Controls</w:t>
            </w:r>
          </w:p>
        </w:tc>
        <w:tc>
          <w:tcPr>
            <w:tcW w:w="1535" w:type="dxa"/>
            <w:tcBorders>
              <w:top w:val="nil"/>
              <w:left w:val="nil"/>
              <w:bottom w:val="nil"/>
              <w:right w:val="nil"/>
            </w:tcBorders>
            <w:shd w:val="clear" w:color="auto" w:fill="auto"/>
            <w:noWrap/>
            <w:vAlign w:val="bottom"/>
            <w:hideMark/>
          </w:tcPr>
          <w:p w14:paraId="1EC53CE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nil"/>
              <w:right w:val="nil"/>
            </w:tcBorders>
            <w:shd w:val="clear" w:color="auto" w:fill="auto"/>
            <w:noWrap/>
            <w:vAlign w:val="bottom"/>
            <w:hideMark/>
          </w:tcPr>
          <w:p w14:paraId="0FBF57B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nil"/>
              <w:right w:val="nil"/>
            </w:tcBorders>
            <w:shd w:val="clear" w:color="auto" w:fill="auto"/>
            <w:noWrap/>
            <w:vAlign w:val="bottom"/>
            <w:hideMark/>
          </w:tcPr>
          <w:p w14:paraId="3A94FED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352" w:type="dxa"/>
            <w:tcBorders>
              <w:top w:val="nil"/>
              <w:left w:val="nil"/>
              <w:bottom w:val="nil"/>
              <w:right w:val="nil"/>
            </w:tcBorders>
            <w:shd w:val="clear" w:color="auto" w:fill="auto"/>
            <w:noWrap/>
            <w:vAlign w:val="bottom"/>
            <w:hideMark/>
          </w:tcPr>
          <w:p w14:paraId="0101658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nil"/>
              <w:right w:val="nil"/>
            </w:tcBorders>
            <w:shd w:val="clear" w:color="auto" w:fill="auto"/>
            <w:noWrap/>
            <w:vAlign w:val="bottom"/>
            <w:hideMark/>
          </w:tcPr>
          <w:p w14:paraId="2D9FF92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nil"/>
              <w:right w:val="nil"/>
            </w:tcBorders>
            <w:shd w:val="clear" w:color="auto" w:fill="auto"/>
            <w:noWrap/>
            <w:vAlign w:val="bottom"/>
            <w:hideMark/>
          </w:tcPr>
          <w:p w14:paraId="6D27221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2FEB6B1B" w14:textId="77777777" w:rsidTr="000E49B7">
        <w:trPr>
          <w:trHeight w:val="330"/>
          <w:jc w:val="center"/>
        </w:trPr>
        <w:tc>
          <w:tcPr>
            <w:tcW w:w="2255" w:type="dxa"/>
            <w:tcBorders>
              <w:top w:val="nil"/>
              <w:left w:val="nil"/>
              <w:bottom w:val="nil"/>
              <w:right w:val="nil"/>
            </w:tcBorders>
            <w:shd w:val="clear" w:color="auto" w:fill="auto"/>
            <w:noWrap/>
            <w:vAlign w:val="bottom"/>
            <w:hideMark/>
          </w:tcPr>
          <w:p w14:paraId="5580FB51"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CZ×Year</w:t>
            </w:r>
            <w:proofErr w:type="spellEnd"/>
            <w:r w:rsidRPr="000E49B7">
              <w:rPr>
                <w:rFonts w:ascii="Times New Roman" w:eastAsia="Malgun Gothic" w:hAnsi="Times New Roman" w:cs="Times New Roman"/>
                <w:color w:val="000000"/>
                <w:sz w:val="24"/>
                <w:szCs w:val="24"/>
              </w:rPr>
              <w:t xml:space="preserve"> FE</w:t>
            </w:r>
          </w:p>
        </w:tc>
        <w:tc>
          <w:tcPr>
            <w:tcW w:w="1535" w:type="dxa"/>
            <w:tcBorders>
              <w:top w:val="nil"/>
              <w:left w:val="nil"/>
              <w:bottom w:val="nil"/>
              <w:right w:val="nil"/>
            </w:tcBorders>
            <w:shd w:val="clear" w:color="auto" w:fill="auto"/>
            <w:noWrap/>
            <w:vAlign w:val="bottom"/>
            <w:hideMark/>
          </w:tcPr>
          <w:p w14:paraId="5036342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nil"/>
              <w:right w:val="nil"/>
            </w:tcBorders>
            <w:shd w:val="clear" w:color="auto" w:fill="auto"/>
            <w:noWrap/>
            <w:vAlign w:val="bottom"/>
            <w:hideMark/>
          </w:tcPr>
          <w:p w14:paraId="4A7AD0C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nil"/>
              <w:right w:val="nil"/>
            </w:tcBorders>
            <w:shd w:val="clear" w:color="auto" w:fill="auto"/>
            <w:noWrap/>
            <w:vAlign w:val="bottom"/>
            <w:hideMark/>
          </w:tcPr>
          <w:p w14:paraId="64A8F0C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352" w:type="dxa"/>
            <w:tcBorders>
              <w:top w:val="nil"/>
              <w:left w:val="nil"/>
              <w:bottom w:val="nil"/>
              <w:right w:val="nil"/>
            </w:tcBorders>
            <w:shd w:val="clear" w:color="auto" w:fill="auto"/>
            <w:noWrap/>
            <w:vAlign w:val="bottom"/>
            <w:hideMark/>
          </w:tcPr>
          <w:p w14:paraId="402A1E3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nil"/>
              <w:right w:val="nil"/>
            </w:tcBorders>
            <w:shd w:val="clear" w:color="auto" w:fill="auto"/>
            <w:noWrap/>
            <w:vAlign w:val="bottom"/>
            <w:hideMark/>
          </w:tcPr>
          <w:p w14:paraId="2AD623F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nil"/>
              <w:right w:val="nil"/>
            </w:tcBorders>
            <w:shd w:val="clear" w:color="auto" w:fill="auto"/>
            <w:noWrap/>
            <w:vAlign w:val="bottom"/>
            <w:hideMark/>
          </w:tcPr>
          <w:p w14:paraId="742E512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790A93C0" w14:textId="77777777" w:rsidTr="000E49B7">
        <w:trPr>
          <w:trHeight w:val="345"/>
          <w:jc w:val="center"/>
        </w:trPr>
        <w:tc>
          <w:tcPr>
            <w:tcW w:w="2255" w:type="dxa"/>
            <w:tcBorders>
              <w:top w:val="nil"/>
              <w:left w:val="nil"/>
              <w:bottom w:val="double" w:sz="6" w:space="0" w:color="auto"/>
              <w:right w:val="nil"/>
            </w:tcBorders>
            <w:shd w:val="clear" w:color="auto" w:fill="auto"/>
            <w:noWrap/>
            <w:vAlign w:val="bottom"/>
            <w:hideMark/>
          </w:tcPr>
          <w:p w14:paraId="7578B80F"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State FE</w:t>
            </w:r>
          </w:p>
        </w:tc>
        <w:tc>
          <w:tcPr>
            <w:tcW w:w="1535" w:type="dxa"/>
            <w:tcBorders>
              <w:top w:val="nil"/>
              <w:left w:val="nil"/>
              <w:bottom w:val="double" w:sz="6" w:space="0" w:color="auto"/>
              <w:right w:val="nil"/>
            </w:tcBorders>
            <w:shd w:val="clear" w:color="auto" w:fill="auto"/>
            <w:noWrap/>
            <w:vAlign w:val="bottom"/>
            <w:hideMark/>
          </w:tcPr>
          <w:p w14:paraId="3339FBB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double" w:sz="6" w:space="0" w:color="auto"/>
              <w:right w:val="nil"/>
            </w:tcBorders>
            <w:shd w:val="clear" w:color="auto" w:fill="auto"/>
            <w:noWrap/>
            <w:vAlign w:val="bottom"/>
            <w:hideMark/>
          </w:tcPr>
          <w:p w14:paraId="527A03B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double" w:sz="6" w:space="0" w:color="auto"/>
              <w:right w:val="nil"/>
            </w:tcBorders>
            <w:shd w:val="clear" w:color="auto" w:fill="auto"/>
            <w:noWrap/>
            <w:vAlign w:val="bottom"/>
            <w:hideMark/>
          </w:tcPr>
          <w:p w14:paraId="2DEDE08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352" w:type="dxa"/>
            <w:tcBorders>
              <w:top w:val="nil"/>
              <w:left w:val="nil"/>
              <w:bottom w:val="double" w:sz="6" w:space="0" w:color="auto"/>
              <w:right w:val="nil"/>
            </w:tcBorders>
            <w:shd w:val="clear" w:color="auto" w:fill="auto"/>
            <w:noWrap/>
            <w:vAlign w:val="bottom"/>
            <w:hideMark/>
          </w:tcPr>
          <w:p w14:paraId="19CB2204"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double" w:sz="6" w:space="0" w:color="auto"/>
              <w:right w:val="nil"/>
            </w:tcBorders>
            <w:shd w:val="clear" w:color="auto" w:fill="auto"/>
            <w:noWrap/>
            <w:vAlign w:val="bottom"/>
            <w:hideMark/>
          </w:tcPr>
          <w:p w14:paraId="20E4A2C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35" w:type="dxa"/>
            <w:tcBorders>
              <w:top w:val="nil"/>
              <w:left w:val="nil"/>
              <w:bottom w:val="double" w:sz="6" w:space="0" w:color="auto"/>
              <w:right w:val="nil"/>
            </w:tcBorders>
            <w:shd w:val="clear" w:color="auto" w:fill="auto"/>
            <w:noWrap/>
            <w:vAlign w:val="bottom"/>
            <w:hideMark/>
          </w:tcPr>
          <w:p w14:paraId="7E46B13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3261D386" w14:textId="77777777" w:rsidTr="000E49B7">
        <w:trPr>
          <w:trHeight w:val="1575"/>
          <w:jc w:val="center"/>
        </w:trPr>
        <w:tc>
          <w:tcPr>
            <w:tcW w:w="11282" w:type="dxa"/>
            <w:gridSpan w:val="7"/>
            <w:tcBorders>
              <w:top w:val="double" w:sz="6" w:space="0" w:color="auto"/>
              <w:left w:val="nil"/>
              <w:bottom w:val="nil"/>
              <w:right w:val="nil"/>
            </w:tcBorders>
            <w:shd w:val="clear" w:color="auto" w:fill="auto"/>
            <w:hideMark/>
          </w:tcPr>
          <w:p w14:paraId="25D33340" w14:textId="77777777" w:rsidR="000E49B7" w:rsidRPr="000E49B7" w:rsidRDefault="000E49B7" w:rsidP="000E49B7">
            <w:pPr>
              <w:spacing w:after="0" w:line="240" w:lineRule="auto"/>
              <w:jc w:val="both"/>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t xml:space="preserve">Notes: </w:t>
            </w:r>
            <w:r w:rsidRPr="000E49B7">
              <w:rPr>
                <w:rFonts w:ascii="Times New Roman" w:eastAsia="Malgun Gothic" w:hAnsi="Times New Roman" w:cs="Times New Roman"/>
                <w:color w:val="000000"/>
                <w:sz w:val="20"/>
                <w:szCs w:val="20"/>
              </w:rPr>
              <w:t xml:space="preserve">The dependent variable is the log of annual earnings. Estimates are derived from Equation (1). Columns 1-2 present results by including only states that mandate CB </w:t>
            </w:r>
            <w:proofErr w:type="gramStart"/>
            <w:r w:rsidRPr="000E49B7">
              <w:rPr>
                <w:rFonts w:ascii="Times New Roman" w:eastAsia="Malgun Gothic" w:hAnsi="Times New Roman" w:cs="Times New Roman"/>
                <w:color w:val="000000"/>
                <w:sz w:val="20"/>
                <w:szCs w:val="20"/>
              </w:rPr>
              <w:t>and also</w:t>
            </w:r>
            <w:proofErr w:type="gramEnd"/>
            <w:r w:rsidRPr="000E49B7">
              <w:rPr>
                <w:rFonts w:ascii="Times New Roman" w:eastAsia="Malgun Gothic" w:hAnsi="Times New Roman" w:cs="Times New Roman"/>
                <w:color w:val="000000"/>
                <w:sz w:val="20"/>
                <w:szCs w:val="20"/>
              </w:rPr>
              <w:t xml:space="preserve"> allow agency fees within the treatment group, whereas Columns 3-4 present results by considering only states that mandate CB and but ban agency fees within the treatment group. The control group includes states as defined by Equation (1). Columns 5-6 present results by including “prohibited” states that explicitly ban collective bargaining within the control group. The treatment group includes all states mandating CB, including those that ban agency fees. Standard errors are clustered at the state level. * </w:t>
            </w:r>
            <w:proofErr w:type="gramStart"/>
            <w:r w:rsidRPr="000E49B7">
              <w:rPr>
                <w:rFonts w:ascii="Times New Roman" w:eastAsia="Malgun Gothic" w:hAnsi="Times New Roman" w:cs="Times New Roman"/>
                <w:color w:val="000000"/>
                <w:sz w:val="20"/>
                <w:szCs w:val="20"/>
              </w:rPr>
              <w:t>denotes</w:t>
            </w:r>
            <w:proofErr w:type="gramEnd"/>
            <w:r w:rsidRPr="000E49B7">
              <w:rPr>
                <w:rFonts w:ascii="Times New Roman" w:eastAsia="Malgun Gothic" w:hAnsi="Times New Roman" w:cs="Times New Roman"/>
                <w:color w:val="000000"/>
                <w:sz w:val="20"/>
                <w:szCs w:val="20"/>
              </w:rPr>
              <w:t xml:space="preserve"> significance at the ten percent level, ** denotes at the five percent level, and *** denotes at the one percent level.</w:t>
            </w:r>
          </w:p>
        </w:tc>
      </w:tr>
    </w:tbl>
    <w:p w14:paraId="4C594A73" w14:textId="77777777" w:rsidR="000E49B7" w:rsidRDefault="000E49B7" w:rsidP="000E49B7">
      <w:pPr>
        <w:widowControl w:val="0"/>
        <w:autoSpaceDE w:val="0"/>
        <w:autoSpaceDN w:val="0"/>
        <w:adjustRightInd w:val="0"/>
        <w:spacing w:line="240" w:lineRule="auto"/>
        <w:jc w:val="both"/>
        <w:rPr>
          <w:rFonts w:ascii="Times New Roman" w:eastAsia="CMR10" w:hAnsi="Times New Roman" w:cs="Times New Roman"/>
          <w:sz w:val="24"/>
          <w:szCs w:val="24"/>
          <w14:ligatures w14:val="standardContextual"/>
        </w:rPr>
        <w:sectPr w:rsidR="000E49B7" w:rsidSect="000E49B7">
          <w:pgSz w:w="16838" w:h="11906" w:orient="landscape"/>
          <w:pgMar w:top="1440" w:right="1440" w:bottom="1440" w:left="1440" w:header="851" w:footer="992" w:gutter="0"/>
          <w:cols w:space="425"/>
          <w:docGrid w:linePitch="360"/>
        </w:sectPr>
      </w:pPr>
    </w:p>
    <w:tbl>
      <w:tblPr>
        <w:tblW w:w="14943" w:type="dxa"/>
        <w:jc w:val="center"/>
        <w:tblCellMar>
          <w:left w:w="99" w:type="dxa"/>
          <w:right w:w="99" w:type="dxa"/>
        </w:tblCellMar>
        <w:tblLook w:val="04A0" w:firstRow="1" w:lastRow="0" w:firstColumn="1" w:lastColumn="0" w:noHBand="0" w:noVBand="1"/>
      </w:tblPr>
      <w:tblGrid>
        <w:gridCol w:w="3710"/>
        <w:gridCol w:w="1584"/>
        <w:gridCol w:w="1223"/>
        <w:gridCol w:w="1584"/>
        <w:gridCol w:w="1223"/>
        <w:gridCol w:w="1584"/>
        <w:gridCol w:w="1223"/>
        <w:gridCol w:w="1584"/>
        <w:gridCol w:w="1228"/>
      </w:tblGrid>
      <w:tr w:rsidR="000E49B7" w:rsidRPr="000E49B7" w14:paraId="61147255" w14:textId="77777777" w:rsidTr="000E49B7">
        <w:trPr>
          <w:trHeight w:val="347"/>
          <w:jc w:val="center"/>
        </w:trPr>
        <w:tc>
          <w:tcPr>
            <w:tcW w:w="14943" w:type="dxa"/>
            <w:gridSpan w:val="9"/>
            <w:tcBorders>
              <w:top w:val="nil"/>
              <w:left w:val="nil"/>
              <w:bottom w:val="double" w:sz="6" w:space="0" w:color="auto"/>
              <w:right w:val="nil"/>
            </w:tcBorders>
            <w:shd w:val="clear" w:color="auto" w:fill="auto"/>
            <w:noWrap/>
            <w:vAlign w:val="bottom"/>
            <w:hideMark/>
          </w:tcPr>
          <w:p w14:paraId="5548B354" w14:textId="40345932"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lastRenderedPageBreak/>
              <w:t>Table A</w:t>
            </w:r>
            <w:r>
              <w:rPr>
                <w:rFonts w:ascii="Times New Roman" w:eastAsia="Malgun Gothic" w:hAnsi="Times New Roman" w:cs="Times New Roman"/>
                <w:b/>
                <w:bCs/>
                <w:color w:val="000000"/>
                <w:sz w:val="24"/>
                <w:szCs w:val="24"/>
              </w:rPr>
              <w:t>6</w:t>
            </w:r>
            <w:r w:rsidRPr="000E49B7">
              <w:rPr>
                <w:rFonts w:ascii="Times New Roman" w:eastAsia="Malgun Gothic" w:hAnsi="Times New Roman" w:cs="Times New Roman"/>
                <w:b/>
                <w:bCs/>
                <w:color w:val="000000"/>
                <w:sz w:val="24"/>
                <w:szCs w:val="24"/>
              </w:rPr>
              <w:t>: Alternative Measures of Union Strength</w:t>
            </w:r>
          </w:p>
        </w:tc>
      </w:tr>
      <w:tr w:rsidR="000E49B7" w:rsidRPr="000E49B7" w14:paraId="7FDAAACA" w14:textId="77777777" w:rsidTr="000E49B7">
        <w:trPr>
          <w:trHeight w:val="347"/>
          <w:jc w:val="center"/>
        </w:trPr>
        <w:tc>
          <w:tcPr>
            <w:tcW w:w="3710" w:type="dxa"/>
            <w:tcBorders>
              <w:top w:val="nil"/>
              <w:left w:val="nil"/>
              <w:bottom w:val="nil"/>
              <w:right w:val="nil"/>
            </w:tcBorders>
            <w:shd w:val="clear" w:color="auto" w:fill="auto"/>
            <w:noWrap/>
            <w:vAlign w:val="bottom"/>
            <w:hideMark/>
          </w:tcPr>
          <w:p w14:paraId="68731865"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p>
        </w:tc>
        <w:tc>
          <w:tcPr>
            <w:tcW w:w="11233" w:type="dxa"/>
            <w:gridSpan w:val="8"/>
            <w:tcBorders>
              <w:top w:val="nil"/>
              <w:left w:val="nil"/>
              <w:bottom w:val="nil"/>
              <w:right w:val="nil"/>
            </w:tcBorders>
            <w:shd w:val="clear" w:color="auto" w:fill="auto"/>
            <w:noWrap/>
            <w:vAlign w:val="bottom"/>
            <w:hideMark/>
          </w:tcPr>
          <w:p w14:paraId="227BBBA7" w14:textId="45E9402F"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Dep. Variable: ln</w:t>
            </w:r>
            <w:r>
              <w:rPr>
                <w:rFonts w:ascii="Times New Roman" w:eastAsia="Malgun Gothic" w:hAnsi="Times New Roman" w:cs="Times New Roman"/>
                <w:color w:val="000000"/>
                <w:sz w:val="24"/>
                <w:szCs w:val="24"/>
              </w:rPr>
              <w:t xml:space="preserve"> </w:t>
            </w:r>
            <w:r w:rsidRPr="000E49B7">
              <w:rPr>
                <w:rFonts w:ascii="Times New Roman" w:eastAsia="Malgun Gothic" w:hAnsi="Times New Roman" w:cs="Times New Roman"/>
                <w:color w:val="000000"/>
                <w:sz w:val="24"/>
                <w:szCs w:val="24"/>
              </w:rPr>
              <w:t>(Annual Earnings)</w:t>
            </w:r>
          </w:p>
        </w:tc>
      </w:tr>
      <w:tr w:rsidR="000E49B7" w:rsidRPr="000E49B7" w14:paraId="79C7EDFC"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02D6FF4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584" w:type="dxa"/>
            <w:tcBorders>
              <w:top w:val="nil"/>
              <w:left w:val="nil"/>
              <w:bottom w:val="nil"/>
              <w:right w:val="nil"/>
            </w:tcBorders>
            <w:shd w:val="clear" w:color="auto" w:fill="auto"/>
            <w:noWrap/>
            <w:vAlign w:val="bottom"/>
            <w:hideMark/>
          </w:tcPr>
          <w:p w14:paraId="0D0BC586"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Women</w:t>
            </w:r>
          </w:p>
        </w:tc>
        <w:tc>
          <w:tcPr>
            <w:tcW w:w="1223" w:type="dxa"/>
            <w:tcBorders>
              <w:top w:val="nil"/>
              <w:left w:val="nil"/>
              <w:bottom w:val="nil"/>
              <w:right w:val="nil"/>
            </w:tcBorders>
            <w:shd w:val="clear" w:color="auto" w:fill="auto"/>
            <w:noWrap/>
            <w:vAlign w:val="bottom"/>
            <w:hideMark/>
          </w:tcPr>
          <w:p w14:paraId="17A555CA"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Men</w:t>
            </w:r>
          </w:p>
        </w:tc>
        <w:tc>
          <w:tcPr>
            <w:tcW w:w="1584" w:type="dxa"/>
            <w:tcBorders>
              <w:top w:val="nil"/>
              <w:left w:val="nil"/>
              <w:bottom w:val="nil"/>
              <w:right w:val="nil"/>
            </w:tcBorders>
            <w:shd w:val="clear" w:color="auto" w:fill="auto"/>
            <w:noWrap/>
            <w:vAlign w:val="bottom"/>
            <w:hideMark/>
          </w:tcPr>
          <w:p w14:paraId="3CD8E204"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Women</w:t>
            </w:r>
          </w:p>
        </w:tc>
        <w:tc>
          <w:tcPr>
            <w:tcW w:w="1223" w:type="dxa"/>
            <w:tcBorders>
              <w:top w:val="nil"/>
              <w:left w:val="nil"/>
              <w:bottom w:val="nil"/>
              <w:right w:val="nil"/>
            </w:tcBorders>
            <w:shd w:val="clear" w:color="auto" w:fill="auto"/>
            <w:noWrap/>
            <w:vAlign w:val="bottom"/>
            <w:hideMark/>
          </w:tcPr>
          <w:p w14:paraId="67639485"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Men</w:t>
            </w:r>
          </w:p>
        </w:tc>
        <w:tc>
          <w:tcPr>
            <w:tcW w:w="1584" w:type="dxa"/>
            <w:tcBorders>
              <w:top w:val="nil"/>
              <w:left w:val="nil"/>
              <w:bottom w:val="nil"/>
              <w:right w:val="nil"/>
            </w:tcBorders>
            <w:shd w:val="clear" w:color="auto" w:fill="auto"/>
            <w:noWrap/>
            <w:vAlign w:val="bottom"/>
            <w:hideMark/>
          </w:tcPr>
          <w:p w14:paraId="7245AB66"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Women</w:t>
            </w:r>
          </w:p>
        </w:tc>
        <w:tc>
          <w:tcPr>
            <w:tcW w:w="1223" w:type="dxa"/>
            <w:tcBorders>
              <w:top w:val="nil"/>
              <w:left w:val="nil"/>
              <w:bottom w:val="nil"/>
              <w:right w:val="nil"/>
            </w:tcBorders>
            <w:shd w:val="clear" w:color="auto" w:fill="auto"/>
            <w:noWrap/>
            <w:vAlign w:val="bottom"/>
            <w:hideMark/>
          </w:tcPr>
          <w:p w14:paraId="75CD5645"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Men</w:t>
            </w:r>
          </w:p>
        </w:tc>
        <w:tc>
          <w:tcPr>
            <w:tcW w:w="1584" w:type="dxa"/>
            <w:tcBorders>
              <w:top w:val="nil"/>
              <w:left w:val="nil"/>
              <w:bottom w:val="nil"/>
              <w:right w:val="nil"/>
            </w:tcBorders>
            <w:shd w:val="clear" w:color="auto" w:fill="auto"/>
            <w:noWrap/>
            <w:vAlign w:val="bottom"/>
            <w:hideMark/>
          </w:tcPr>
          <w:p w14:paraId="61739CC3"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Women</w:t>
            </w:r>
          </w:p>
        </w:tc>
        <w:tc>
          <w:tcPr>
            <w:tcW w:w="1224" w:type="dxa"/>
            <w:tcBorders>
              <w:top w:val="nil"/>
              <w:left w:val="nil"/>
              <w:bottom w:val="nil"/>
              <w:right w:val="nil"/>
            </w:tcBorders>
            <w:shd w:val="clear" w:color="auto" w:fill="auto"/>
            <w:noWrap/>
            <w:vAlign w:val="bottom"/>
            <w:hideMark/>
          </w:tcPr>
          <w:p w14:paraId="2B51BCE2" w14:textId="77777777" w:rsidR="000E49B7" w:rsidRPr="000E49B7" w:rsidRDefault="000E49B7" w:rsidP="000E49B7">
            <w:pPr>
              <w:spacing w:after="0" w:line="240" w:lineRule="auto"/>
              <w:jc w:val="center"/>
              <w:rPr>
                <w:rFonts w:ascii="Times New Roman" w:eastAsia="Malgun Gothic" w:hAnsi="Times New Roman" w:cs="Times New Roman"/>
                <w:b/>
                <w:bCs/>
                <w:color w:val="000000"/>
                <w:sz w:val="24"/>
                <w:szCs w:val="24"/>
              </w:rPr>
            </w:pPr>
            <w:r w:rsidRPr="000E49B7">
              <w:rPr>
                <w:rFonts w:ascii="Times New Roman" w:eastAsia="Malgun Gothic" w:hAnsi="Times New Roman" w:cs="Times New Roman"/>
                <w:b/>
                <w:bCs/>
                <w:color w:val="000000"/>
                <w:sz w:val="24"/>
                <w:szCs w:val="24"/>
              </w:rPr>
              <w:t>Men</w:t>
            </w:r>
          </w:p>
        </w:tc>
      </w:tr>
      <w:tr w:rsidR="000E49B7" w:rsidRPr="000E49B7" w14:paraId="115C6CE3" w14:textId="77777777" w:rsidTr="000E49B7">
        <w:trPr>
          <w:trHeight w:val="332"/>
          <w:jc w:val="center"/>
        </w:trPr>
        <w:tc>
          <w:tcPr>
            <w:tcW w:w="3710" w:type="dxa"/>
            <w:tcBorders>
              <w:top w:val="nil"/>
              <w:left w:val="nil"/>
              <w:bottom w:val="single" w:sz="4" w:space="0" w:color="auto"/>
              <w:right w:val="nil"/>
            </w:tcBorders>
            <w:shd w:val="clear" w:color="auto" w:fill="auto"/>
            <w:noWrap/>
            <w:vAlign w:val="bottom"/>
            <w:hideMark/>
          </w:tcPr>
          <w:p w14:paraId="0601CC1E"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 xml:space="preserve">　</w:t>
            </w:r>
          </w:p>
        </w:tc>
        <w:tc>
          <w:tcPr>
            <w:tcW w:w="1584" w:type="dxa"/>
            <w:tcBorders>
              <w:top w:val="nil"/>
              <w:left w:val="nil"/>
              <w:bottom w:val="single" w:sz="4" w:space="0" w:color="auto"/>
              <w:right w:val="nil"/>
            </w:tcBorders>
            <w:shd w:val="clear" w:color="auto" w:fill="auto"/>
            <w:noWrap/>
            <w:vAlign w:val="bottom"/>
            <w:hideMark/>
          </w:tcPr>
          <w:p w14:paraId="0E00603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w:t>
            </w:r>
          </w:p>
        </w:tc>
        <w:tc>
          <w:tcPr>
            <w:tcW w:w="1223" w:type="dxa"/>
            <w:tcBorders>
              <w:top w:val="nil"/>
              <w:left w:val="nil"/>
              <w:bottom w:val="single" w:sz="4" w:space="0" w:color="auto"/>
              <w:right w:val="nil"/>
            </w:tcBorders>
            <w:shd w:val="clear" w:color="auto" w:fill="auto"/>
            <w:noWrap/>
            <w:vAlign w:val="bottom"/>
            <w:hideMark/>
          </w:tcPr>
          <w:p w14:paraId="3F77ABC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(2)</w:t>
            </w:r>
          </w:p>
        </w:tc>
        <w:tc>
          <w:tcPr>
            <w:tcW w:w="1584" w:type="dxa"/>
            <w:tcBorders>
              <w:top w:val="nil"/>
              <w:left w:val="nil"/>
              <w:bottom w:val="single" w:sz="4" w:space="0" w:color="auto"/>
              <w:right w:val="nil"/>
            </w:tcBorders>
            <w:shd w:val="clear" w:color="auto" w:fill="auto"/>
            <w:noWrap/>
            <w:vAlign w:val="bottom"/>
            <w:hideMark/>
          </w:tcPr>
          <w:p w14:paraId="6D05683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w:t>
            </w:r>
          </w:p>
        </w:tc>
        <w:tc>
          <w:tcPr>
            <w:tcW w:w="1223" w:type="dxa"/>
            <w:tcBorders>
              <w:top w:val="nil"/>
              <w:left w:val="nil"/>
              <w:bottom w:val="single" w:sz="4" w:space="0" w:color="auto"/>
              <w:right w:val="nil"/>
            </w:tcBorders>
            <w:shd w:val="clear" w:color="auto" w:fill="auto"/>
            <w:noWrap/>
            <w:vAlign w:val="bottom"/>
            <w:hideMark/>
          </w:tcPr>
          <w:p w14:paraId="037C53B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(4)</w:t>
            </w:r>
          </w:p>
        </w:tc>
        <w:tc>
          <w:tcPr>
            <w:tcW w:w="1584" w:type="dxa"/>
            <w:tcBorders>
              <w:top w:val="nil"/>
              <w:left w:val="nil"/>
              <w:bottom w:val="single" w:sz="4" w:space="0" w:color="auto"/>
              <w:right w:val="nil"/>
            </w:tcBorders>
            <w:shd w:val="clear" w:color="auto" w:fill="auto"/>
            <w:noWrap/>
            <w:vAlign w:val="bottom"/>
            <w:hideMark/>
          </w:tcPr>
          <w:p w14:paraId="53A5250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(5)</w:t>
            </w:r>
          </w:p>
        </w:tc>
        <w:tc>
          <w:tcPr>
            <w:tcW w:w="1223" w:type="dxa"/>
            <w:tcBorders>
              <w:top w:val="nil"/>
              <w:left w:val="nil"/>
              <w:bottom w:val="single" w:sz="4" w:space="0" w:color="auto"/>
              <w:right w:val="nil"/>
            </w:tcBorders>
            <w:shd w:val="clear" w:color="auto" w:fill="auto"/>
            <w:noWrap/>
            <w:vAlign w:val="bottom"/>
            <w:hideMark/>
          </w:tcPr>
          <w:p w14:paraId="018AF75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(6)</w:t>
            </w:r>
          </w:p>
        </w:tc>
        <w:tc>
          <w:tcPr>
            <w:tcW w:w="1584" w:type="dxa"/>
            <w:tcBorders>
              <w:top w:val="nil"/>
              <w:left w:val="nil"/>
              <w:bottom w:val="single" w:sz="4" w:space="0" w:color="auto"/>
              <w:right w:val="nil"/>
            </w:tcBorders>
            <w:shd w:val="clear" w:color="auto" w:fill="auto"/>
            <w:noWrap/>
            <w:vAlign w:val="bottom"/>
            <w:hideMark/>
          </w:tcPr>
          <w:p w14:paraId="4B40282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(7)</w:t>
            </w:r>
          </w:p>
        </w:tc>
        <w:tc>
          <w:tcPr>
            <w:tcW w:w="1224" w:type="dxa"/>
            <w:tcBorders>
              <w:top w:val="nil"/>
              <w:left w:val="nil"/>
              <w:bottom w:val="single" w:sz="4" w:space="0" w:color="auto"/>
              <w:right w:val="nil"/>
            </w:tcBorders>
            <w:shd w:val="clear" w:color="auto" w:fill="auto"/>
            <w:noWrap/>
            <w:vAlign w:val="bottom"/>
            <w:hideMark/>
          </w:tcPr>
          <w:p w14:paraId="77519F6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(8)</w:t>
            </w:r>
          </w:p>
        </w:tc>
      </w:tr>
      <w:tr w:rsidR="000E49B7" w:rsidRPr="000E49B7" w14:paraId="0FFF73D9"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21CA04B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584" w:type="dxa"/>
            <w:tcBorders>
              <w:top w:val="nil"/>
              <w:left w:val="nil"/>
              <w:bottom w:val="nil"/>
              <w:right w:val="nil"/>
            </w:tcBorders>
            <w:shd w:val="clear" w:color="auto" w:fill="auto"/>
            <w:noWrap/>
            <w:vAlign w:val="bottom"/>
            <w:hideMark/>
          </w:tcPr>
          <w:p w14:paraId="5E241941"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29E9A99B"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041C74BB"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52B6E01B"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4CC05229"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091CCD62"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30FFDDF4"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62F299B4"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16BD39C0"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560BFD0F"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roofErr w:type="spellStart"/>
            <w:r w:rsidRPr="000E49B7">
              <w:rPr>
                <w:rFonts w:ascii="Times New Roman" w:eastAsia="Malgun Gothic" w:hAnsi="Times New Roman" w:cs="Times New Roman"/>
                <w:color w:val="000000"/>
                <w:sz w:val="24"/>
                <w:szCs w:val="24"/>
              </w:rPr>
              <w:t>UnionDensity</w:t>
            </w:r>
            <w:proofErr w:type="spellEnd"/>
          </w:p>
        </w:tc>
        <w:tc>
          <w:tcPr>
            <w:tcW w:w="1584" w:type="dxa"/>
            <w:tcBorders>
              <w:top w:val="nil"/>
              <w:left w:val="nil"/>
              <w:bottom w:val="nil"/>
              <w:right w:val="nil"/>
            </w:tcBorders>
            <w:shd w:val="clear" w:color="auto" w:fill="auto"/>
            <w:noWrap/>
            <w:vAlign w:val="bottom"/>
            <w:hideMark/>
          </w:tcPr>
          <w:p w14:paraId="24F80F4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0.0336***</w:t>
            </w:r>
          </w:p>
        </w:tc>
        <w:tc>
          <w:tcPr>
            <w:tcW w:w="1223" w:type="dxa"/>
            <w:tcBorders>
              <w:top w:val="nil"/>
              <w:left w:val="nil"/>
              <w:bottom w:val="nil"/>
              <w:right w:val="nil"/>
            </w:tcBorders>
            <w:shd w:val="clear" w:color="auto" w:fill="auto"/>
            <w:noWrap/>
            <w:vAlign w:val="bottom"/>
            <w:hideMark/>
          </w:tcPr>
          <w:p w14:paraId="5B6DEC2E"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0.0133*</w:t>
            </w:r>
          </w:p>
        </w:tc>
        <w:tc>
          <w:tcPr>
            <w:tcW w:w="1584" w:type="dxa"/>
            <w:tcBorders>
              <w:top w:val="nil"/>
              <w:left w:val="nil"/>
              <w:bottom w:val="nil"/>
              <w:right w:val="nil"/>
            </w:tcBorders>
            <w:shd w:val="clear" w:color="auto" w:fill="auto"/>
            <w:noWrap/>
            <w:vAlign w:val="bottom"/>
            <w:hideMark/>
          </w:tcPr>
          <w:p w14:paraId="230A8A1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14:paraId="665F4A1F"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70AB7DF2"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7E0BA253"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1F5F3C45"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2397EF1F"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7678A680"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745D4B25"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3A18C6D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(0.010)</w:t>
            </w:r>
          </w:p>
        </w:tc>
        <w:tc>
          <w:tcPr>
            <w:tcW w:w="1223" w:type="dxa"/>
            <w:tcBorders>
              <w:top w:val="nil"/>
              <w:left w:val="nil"/>
              <w:bottom w:val="nil"/>
              <w:right w:val="nil"/>
            </w:tcBorders>
            <w:shd w:val="clear" w:color="auto" w:fill="auto"/>
            <w:noWrap/>
            <w:vAlign w:val="bottom"/>
            <w:hideMark/>
          </w:tcPr>
          <w:p w14:paraId="6390543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(0.007)</w:t>
            </w:r>
          </w:p>
        </w:tc>
        <w:tc>
          <w:tcPr>
            <w:tcW w:w="1584" w:type="dxa"/>
            <w:tcBorders>
              <w:top w:val="nil"/>
              <w:left w:val="nil"/>
              <w:bottom w:val="nil"/>
              <w:right w:val="nil"/>
            </w:tcBorders>
            <w:shd w:val="clear" w:color="auto" w:fill="auto"/>
            <w:noWrap/>
            <w:vAlign w:val="bottom"/>
            <w:hideMark/>
          </w:tcPr>
          <w:p w14:paraId="32FB610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14:paraId="70C51E7B"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552F3A96"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0FE76789"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3B7B9A7B"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0FE244DE"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2ED6164D"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0D988300"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roofErr w:type="spellStart"/>
            <w:r w:rsidRPr="000E49B7">
              <w:rPr>
                <w:rFonts w:ascii="Times New Roman" w:eastAsia="Malgun Gothic" w:hAnsi="Times New Roman" w:cs="Times New Roman"/>
                <w:color w:val="000000"/>
                <w:sz w:val="24"/>
                <w:szCs w:val="24"/>
              </w:rPr>
              <w:t>DuesPerStudent</w:t>
            </w:r>
            <w:proofErr w:type="spellEnd"/>
          </w:p>
        </w:tc>
        <w:tc>
          <w:tcPr>
            <w:tcW w:w="1584" w:type="dxa"/>
            <w:tcBorders>
              <w:top w:val="nil"/>
              <w:left w:val="nil"/>
              <w:bottom w:val="nil"/>
              <w:right w:val="nil"/>
            </w:tcBorders>
            <w:shd w:val="clear" w:color="auto" w:fill="auto"/>
            <w:noWrap/>
            <w:vAlign w:val="bottom"/>
            <w:hideMark/>
          </w:tcPr>
          <w:p w14:paraId="2EE64C46"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14:paraId="5408F8E3"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7741060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0.0361***</w:t>
            </w:r>
          </w:p>
        </w:tc>
        <w:tc>
          <w:tcPr>
            <w:tcW w:w="1223" w:type="dxa"/>
            <w:tcBorders>
              <w:top w:val="nil"/>
              <w:left w:val="nil"/>
              <w:bottom w:val="nil"/>
              <w:right w:val="nil"/>
            </w:tcBorders>
            <w:shd w:val="clear" w:color="auto" w:fill="auto"/>
            <w:noWrap/>
            <w:vAlign w:val="bottom"/>
            <w:hideMark/>
          </w:tcPr>
          <w:p w14:paraId="149184D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0.0128*</w:t>
            </w:r>
          </w:p>
        </w:tc>
        <w:tc>
          <w:tcPr>
            <w:tcW w:w="1584" w:type="dxa"/>
            <w:tcBorders>
              <w:top w:val="nil"/>
              <w:left w:val="nil"/>
              <w:bottom w:val="nil"/>
              <w:right w:val="nil"/>
            </w:tcBorders>
            <w:shd w:val="clear" w:color="auto" w:fill="auto"/>
            <w:noWrap/>
            <w:vAlign w:val="bottom"/>
            <w:hideMark/>
          </w:tcPr>
          <w:p w14:paraId="2DA2632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14:paraId="49C2C5B4"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502771DE"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14482592"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6766B7C9"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66224DA7"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4D09FD06"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133CA49A"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18835E1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(0.010)</w:t>
            </w:r>
          </w:p>
        </w:tc>
        <w:tc>
          <w:tcPr>
            <w:tcW w:w="1223" w:type="dxa"/>
            <w:tcBorders>
              <w:top w:val="nil"/>
              <w:left w:val="nil"/>
              <w:bottom w:val="nil"/>
              <w:right w:val="nil"/>
            </w:tcBorders>
            <w:shd w:val="clear" w:color="auto" w:fill="auto"/>
            <w:noWrap/>
            <w:vAlign w:val="bottom"/>
            <w:hideMark/>
          </w:tcPr>
          <w:p w14:paraId="02BE8B4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(0.007)</w:t>
            </w:r>
          </w:p>
        </w:tc>
        <w:tc>
          <w:tcPr>
            <w:tcW w:w="1584" w:type="dxa"/>
            <w:tcBorders>
              <w:top w:val="nil"/>
              <w:left w:val="nil"/>
              <w:bottom w:val="nil"/>
              <w:right w:val="nil"/>
            </w:tcBorders>
            <w:shd w:val="clear" w:color="auto" w:fill="auto"/>
            <w:noWrap/>
            <w:vAlign w:val="bottom"/>
            <w:hideMark/>
          </w:tcPr>
          <w:p w14:paraId="62F0F4B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14:paraId="50E9AC03"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2F78C628"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4756C8EB"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70D3E8DE"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6AA580BE"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roofErr w:type="spellStart"/>
            <w:r w:rsidRPr="000E49B7">
              <w:rPr>
                <w:rFonts w:ascii="Times New Roman" w:eastAsia="Malgun Gothic" w:hAnsi="Times New Roman" w:cs="Times New Roman"/>
                <w:color w:val="000000"/>
                <w:sz w:val="24"/>
                <w:szCs w:val="24"/>
              </w:rPr>
              <w:t>ExpenPerStudent</w:t>
            </w:r>
            <w:proofErr w:type="spellEnd"/>
          </w:p>
        </w:tc>
        <w:tc>
          <w:tcPr>
            <w:tcW w:w="1584" w:type="dxa"/>
            <w:tcBorders>
              <w:top w:val="nil"/>
              <w:left w:val="nil"/>
              <w:bottom w:val="nil"/>
              <w:right w:val="nil"/>
            </w:tcBorders>
            <w:shd w:val="clear" w:color="auto" w:fill="auto"/>
            <w:noWrap/>
            <w:vAlign w:val="bottom"/>
            <w:hideMark/>
          </w:tcPr>
          <w:p w14:paraId="6A48FA59"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14:paraId="0CB915CE"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338641C6"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40961CC6"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59DABB9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0.0358***</w:t>
            </w:r>
          </w:p>
        </w:tc>
        <w:tc>
          <w:tcPr>
            <w:tcW w:w="1223" w:type="dxa"/>
            <w:tcBorders>
              <w:top w:val="nil"/>
              <w:left w:val="nil"/>
              <w:bottom w:val="nil"/>
              <w:right w:val="nil"/>
            </w:tcBorders>
            <w:shd w:val="clear" w:color="auto" w:fill="auto"/>
            <w:noWrap/>
            <w:vAlign w:val="bottom"/>
            <w:hideMark/>
          </w:tcPr>
          <w:p w14:paraId="375B334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0.0132*</w:t>
            </w:r>
          </w:p>
        </w:tc>
        <w:tc>
          <w:tcPr>
            <w:tcW w:w="1584" w:type="dxa"/>
            <w:tcBorders>
              <w:top w:val="nil"/>
              <w:left w:val="nil"/>
              <w:bottom w:val="nil"/>
              <w:right w:val="nil"/>
            </w:tcBorders>
            <w:shd w:val="clear" w:color="auto" w:fill="auto"/>
            <w:noWrap/>
            <w:vAlign w:val="center"/>
            <w:hideMark/>
          </w:tcPr>
          <w:p w14:paraId="40CBC13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224" w:type="dxa"/>
            <w:tcBorders>
              <w:top w:val="nil"/>
              <w:left w:val="nil"/>
              <w:bottom w:val="nil"/>
              <w:right w:val="nil"/>
            </w:tcBorders>
            <w:shd w:val="clear" w:color="auto" w:fill="auto"/>
            <w:noWrap/>
            <w:vAlign w:val="center"/>
            <w:hideMark/>
          </w:tcPr>
          <w:p w14:paraId="63C0A702"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0049C8E4"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0C997121"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7595C8CA"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0E44EA5E"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04DFCABB"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18710C5A"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43F396D0"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(0.008)</w:t>
            </w:r>
          </w:p>
        </w:tc>
        <w:tc>
          <w:tcPr>
            <w:tcW w:w="1223" w:type="dxa"/>
            <w:tcBorders>
              <w:top w:val="nil"/>
              <w:left w:val="nil"/>
              <w:bottom w:val="nil"/>
              <w:right w:val="nil"/>
            </w:tcBorders>
            <w:shd w:val="clear" w:color="auto" w:fill="auto"/>
            <w:noWrap/>
            <w:vAlign w:val="bottom"/>
            <w:hideMark/>
          </w:tcPr>
          <w:p w14:paraId="72ED734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(0.007)</w:t>
            </w:r>
          </w:p>
        </w:tc>
        <w:tc>
          <w:tcPr>
            <w:tcW w:w="1584" w:type="dxa"/>
            <w:tcBorders>
              <w:top w:val="nil"/>
              <w:left w:val="nil"/>
              <w:bottom w:val="nil"/>
              <w:right w:val="nil"/>
            </w:tcBorders>
            <w:shd w:val="clear" w:color="auto" w:fill="auto"/>
            <w:noWrap/>
            <w:vAlign w:val="center"/>
            <w:hideMark/>
          </w:tcPr>
          <w:p w14:paraId="1A6CD3E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224" w:type="dxa"/>
            <w:tcBorders>
              <w:top w:val="nil"/>
              <w:left w:val="nil"/>
              <w:bottom w:val="nil"/>
              <w:right w:val="nil"/>
            </w:tcBorders>
            <w:shd w:val="clear" w:color="auto" w:fill="auto"/>
            <w:noWrap/>
            <w:vAlign w:val="center"/>
            <w:hideMark/>
          </w:tcPr>
          <w:p w14:paraId="5C09D553"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65C2F1B3"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29AC9059"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STEM*</w:t>
            </w:r>
            <w:proofErr w:type="spellStart"/>
            <w:r w:rsidRPr="000E49B7">
              <w:rPr>
                <w:rFonts w:ascii="Times New Roman" w:eastAsia="Malgun Gothic" w:hAnsi="Times New Roman" w:cs="Times New Roman"/>
                <w:color w:val="000000"/>
                <w:sz w:val="24"/>
                <w:szCs w:val="24"/>
              </w:rPr>
              <w:t>UnionScore</w:t>
            </w:r>
            <w:proofErr w:type="spellEnd"/>
          </w:p>
        </w:tc>
        <w:tc>
          <w:tcPr>
            <w:tcW w:w="1584" w:type="dxa"/>
            <w:tcBorders>
              <w:top w:val="nil"/>
              <w:left w:val="nil"/>
              <w:bottom w:val="nil"/>
              <w:right w:val="nil"/>
            </w:tcBorders>
            <w:shd w:val="clear" w:color="auto" w:fill="auto"/>
            <w:noWrap/>
            <w:vAlign w:val="bottom"/>
            <w:hideMark/>
          </w:tcPr>
          <w:p w14:paraId="5C2A5EAE"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14:paraId="607F11D9"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05DCAD78"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7DF77CD4"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1A7CBF9D"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3ECFA168"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3E6FF58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0.0304***</w:t>
            </w:r>
          </w:p>
        </w:tc>
        <w:tc>
          <w:tcPr>
            <w:tcW w:w="1224" w:type="dxa"/>
            <w:tcBorders>
              <w:top w:val="nil"/>
              <w:left w:val="nil"/>
              <w:bottom w:val="nil"/>
              <w:right w:val="nil"/>
            </w:tcBorders>
            <w:shd w:val="clear" w:color="auto" w:fill="auto"/>
            <w:noWrap/>
            <w:vAlign w:val="center"/>
            <w:hideMark/>
          </w:tcPr>
          <w:p w14:paraId="682B720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0.0126*</w:t>
            </w:r>
          </w:p>
        </w:tc>
      </w:tr>
      <w:tr w:rsidR="000E49B7" w:rsidRPr="000E49B7" w14:paraId="7748CE1E"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02BF5AD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p>
        </w:tc>
        <w:tc>
          <w:tcPr>
            <w:tcW w:w="1584" w:type="dxa"/>
            <w:tcBorders>
              <w:top w:val="nil"/>
              <w:left w:val="nil"/>
              <w:bottom w:val="nil"/>
              <w:right w:val="nil"/>
            </w:tcBorders>
            <w:shd w:val="clear" w:color="auto" w:fill="auto"/>
            <w:noWrap/>
            <w:vAlign w:val="bottom"/>
            <w:hideMark/>
          </w:tcPr>
          <w:p w14:paraId="020C926C"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3759E213"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0E42BD28"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315F5397"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31169A34"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4B268845"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20468E9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(0.010)</w:t>
            </w:r>
          </w:p>
        </w:tc>
        <w:tc>
          <w:tcPr>
            <w:tcW w:w="1224" w:type="dxa"/>
            <w:tcBorders>
              <w:top w:val="nil"/>
              <w:left w:val="nil"/>
              <w:bottom w:val="nil"/>
              <w:right w:val="nil"/>
            </w:tcBorders>
            <w:shd w:val="clear" w:color="auto" w:fill="auto"/>
            <w:noWrap/>
            <w:vAlign w:val="center"/>
            <w:hideMark/>
          </w:tcPr>
          <w:p w14:paraId="4DD81FC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(0.007)</w:t>
            </w:r>
          </w:p>
        </w:tc>
      </w:tr>
      <w:tr w:rsidR="000E49B7" w:rsidRPr="000E49B7" w14:paraId="23C39BAB"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3F183C26"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highlight w:val="yellow"/>
              </w:rPr>
              <w:t>STEM</w:t>
            </w:r>
          </w:p>
        </w:tc>
        <w:tc>
          <w:tcPr>
            <w:tcW w:w="1584" w:type="dxa"/>
            <w:tcBorders>
              <w:top w:val="nil"/>
              <w:left w:val="nil"/>
              <w:bottom w:val="nil"/>
              <w:right w:val="nil"/>
            </w:tcBorders>
            <w:shd w:val="clear" w:color="auto" w:fill="auto"/>
            <w:noWrap/>
            <w:vAlign w:val="bottom"/>
            <w:hideMark/>
          </w:tcPr>
          <w:p w14:paraId="1FC86356"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
        </w:tc>
        <w:tc>
          <w:tcPr>
            <w:tcW w:w="1223" w:type="dxa"/>
            <w:tcBorders>
              <w:top w:val="nil"/>
              <w:left w:val="nil"/>
              <w:bottom w:val="nil"/>
              <w:right w:val="nil"/>
            </w:tcBorders>
            <w:shd w:val="clear" w:color="auto" w:fill="auto"/>
            <w:noWrap/>
            <w:vAlign w:val="bottom"/>
            <w:hideMark/>
          </w:tcPr>
          <w:p w14:paraId="65979270"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02D9B55F"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750FB974"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774A7CF8"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7FA9212A"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166A37D4"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03EC8554"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1C56F875"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2237B2C9"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4DD27D52"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1F1E8463"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70C99C62"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01815451"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598C4C84"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76603A6B"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64AE17B3"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05D01F8C"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17F9F3C2"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4F8655A1"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6F8FD302" w14:textId="77777777" w:rsidR="000E49B7" w:rsidRPr="000E49B7" w:rsidRDefault="000E49B7" w:rsidP="000E49B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7B9EE58A"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19D8DC0A"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2F7E3DAE"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19111215"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14:paraId="3EEF6940"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01A589E1" w14:textId="77777777" w:rsidR="000E49B7" w:rsidRPr="000E49B7" w:rsidRDefault="000E49B7" w:rsidP="000E49B7">
            <w:pPr>
              <w:spacing w:after="0" w:line="240" w:lineRule="auto"/>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46A7371B" w14:textId="77777777" w:rsidR="000E49B7" w:rsidRPr="000E49B7" w:rsidRDefault="000E49B7" w:rsidP="000E49B7">
            <w:pPr>
              <w:spacing w:after="0" w:line="240" w:lineRule="auto"/>
              <w:rPr>
                <w:rFonts w:ascii="Times New Roman" w:eastAsia="Times New Roman" w:hAnsi="Times New Roman" w:cs="Times New Roman"/>
                <w:sz w:val="20"/>
                <w:szCs w:val="20"/>
              </w:rPr>
            </w:pPr>
          </w:p>
        </w:tc>
      </w:tr>
      <w:tr w:rsidR="000E49B7" w:rsidRPr="000E49B7" w14:paraId="34808B3A" w14:textId="77777777" w:rsidTr="000E49B7">
        <w:trPr>
          <w:trHeight w:val="347"/>
          <w:jc w:val="center"/>
        </w:trPr>
        <w:tc>
          <w:tcPr>
            <w:tcW w:w="3710" w:type="dxa"/>
            <w:tcBorders>
              <w:top w:val="nil"/>
              <w:left w:val="nil"/>
              <w:bottom w:val="double" w:sz="6" w:space="0" w:color="auto"/>
              <w:right w:val="nil"/>
            </w:tcBorders>
            <w:shd w:val="clear" w:color="auto" w:fill="auto"/>
            <w:noWrap/>
            <w:vAlign w:val="bottom"/>
            <w:hideMark/>
          </w:tcPr>
          <w:p w14:paraId="6B091C76" w14:textId="77777777" w:rsidR="000E49B7" w:rsidRPr="000E49B7" w:rsidRDefault="000E49B7" w:rsidP="000E49B7">
            <w:pPr>
              <w:spacing w:after="0" w:line="240" w:lineRule="auto"/>
              <w:rPr>
                <w:rFonts w:ascii="Times New Roman" w:eastAsia="Malgun Gothic" w:hAnsi="Times New Roman" w:cs="Times New Roman"/>
                <w:i/>
                <w:iCs/>
                <w:color w:val="000000"/>
                <w:sz w:val="24"/>
                <w:szCs w:val="24"/>
              </w:rPr>
            </w:pPr>
            <w:r w:rsidRPr="000E49B7">
              <w:rPr>
                <w:rFonts w:ascii="Times New Roman" w:eastAsia="Malgun Gothic" w:hAnsi="Times New Roman" w:cs="Times New Roman"/>
                <w:i/>
                <w:iCs/>
                <w:color w:val="000000"/>
                <w:sz w:val="24"/>
                <w:szCs w:val="24"/>
              </w:rPr>
              <w:t>N</w:t>
            </w:r>
          </w:p>
        </w:tc>
        <w:tc>
          <w:tcPr>
            <w:tcW w:w="1584" w:type="dxa"/>
            <w:tcBorders>
              <w:top w:val="nil"/>
              <w:left w:val="nil"/>
              <w:bottom w:val="double" w:sz="6" w:space="0" w:color="auto"/>
              <w:right w:val="nil"/>
            </w:tcBorders>
            <w:shd w:val="clear" w:color="auto" w:fill="auto"/>
            <w:noWrap/>
            <w:vAlign w:val="bottom"/>
            <w:hideMark/>
          </w:tcPr>
          <w:p w14:paraId="5795C38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333,072</w:t>
            </w:r>
          </w:p>
        </w:tc>
        <w:tc>
          <w:tcPr>
            <w:tcW w:w="1223" w:type="dxa"/>
            <w:tcBorders>
              <w:top w:val="nil"/>
              <w:left w:val="nil"/>
              <w:bottom w:val="double" w:sz="6" w:space="0" w:color="auto"/>
              <w:right w:val="nil"/>
            </w:tcBorders>
            <w:shd w:val="clear" w:color="auto" w:fill="auto"/>
            <w:noWrap/>
            <w:vAlign w:val="bottom"/>
            <w:hideMark/>
          </w:tcPr>
          <w:p w14:paraId="277B7BE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105,199</w:t>
            </w:r>
          </w:p>
        </w:tc>
        <w:tc>
          <w:tcPr>
            <w:tcW w:w="1584" w:type="dxa"/>
            <w:tcBorders>
              <w:top w:val="nil"/>
              <w:left w:val="nil"/>
              <w:bottom w:val="double" w:sz="6" w:space="0" w:color="auto"/>
              <w:right w:val="nil"/>
            </w:tcBorders>
            <w:shd w:val="clear" w:color="auto" w:fill="auto"/>
            <w:noWrap/>
            <w:vAlign w:val="bottom"/>
            <w:hideMark/>
          </w:tcPr>
          <w:p w14:paraId="474CD63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333,072</w:t>
            </w:r>
          </w:p>
        </w:tc>
        <w:tc>
          <w:tcPr>
            <w:tcW w:w="1223" w:type="dxa"/>
            <w:tcBorders>
              <w:top w:val="nil"/>
              <w:left w:val="nil"/>
              <w:bottom w:val="double" w:sz="6" w:space="0" w:color="auto"/>
              <w:right w:val="nil"/>
            </w:tcBorders>
            <w:shd w:val="clear" w:color="auto" w:fill="auto"/>
            <w:noWrap/>
            <w:vAlign w:val="bottom"/>
            <w:hideMark/>
          </w:tcPr>
          <w:p w14:paraId="69C29D2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105,199</w:t>
            </w:r>
          </w:p>
        </w:tc>
        <w:tc>
          <w:tcPr>
            <w:tcW w:w="1584" w:type="dxa"/>
            <w:tcBorders>
              <w:top w:val="nil"/>
              <w:left w:val="nil"/>
              <w:bottom w:val="double" w:sz="6" w:space="0" w:color="auto"/>
              <w:right w:val="nil"/>
            </w:tcBorders>
            <w:shd w:val="clear" w:color="auto" w:fill="auto"/>
            <w:noWrap/>
            <w:vAlign w:val="bottom"/>
            <w:hideMark/>
          </w:tcPr>
          <w:p w14:paraId="6A148CB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333,072</w:t>
            </w:r>
          </w:p>
        </w:tc>
        <w:tc>
          <w:tcPr>
            <w:tcW w:w="1223" w:type="dxa"/>
            <w:tcBorders>
              <w:top w:val="nil"/>
              <w:left w:val="nil"/>
              <w:bottom w:val="double" w:sz="6" w:space="0" w:color="auto"/>
              <w:right w:val="nil"/>
            </w:tcBorders>
            <w:shd w:val="clear" w:color="auto" w:fill="auto"/>
            <w:noWrap/>
            <w:vAlign w:val="bottom"/>
            <w:hideMark/>
          </w:tcPr>
          <w:p w14:paraId="3167C36B"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105,199</w:t>
            </w:r>
          </w:p>
        </w:tc>
        <w:tc>
          <w:tcPr>
            <w:tcW w:w="1584" w:type="dxa"/>
            <w:tcBorders>
              <w:top w:val="nil"/>
              <w:left w:val="nil"/>
              <w:bottom w:val="double" w:sz="6" w:space="0" w:color="auto"/>
              <w:right w:val="nil"/>
            </w:tcBorders>
            <w:shd w:val="clear" w:color="auto" w:fill="auto"/>
            <w:noWrap/>
            <w:vAlign w:val="center"/>
            <w:hideMark/>
          </w:tcPr>
          <w:p w14:paraId="74C09F6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329,085</w:t>
            </w:r>
          </w:p>
        </w:tc>
        <w:tc>
          <w:tcPr>
            <w:tcW w:w="1224" w:type="dxa"/>
            <w:tcBorders>
              <w:top w:val="nil"/>
              <w:left w:val="nil"/>
              <w:bottom w:val="double" w:sz="6" w:space="0" w:color="auto"/>
              <w:right w:val="nil"/>
            </w:tcBorders>
            <w:shd w:val="clear" w:color="auto" w:fill="auto"/>
            <w:noWrap/>
            <w:vAlign w:val="center"/>
            <w:hideMark/>
          </w:tcPr>
          <w:p w14:paraId="1CB05A2F" w14:textId="77777777" w:rsidR="000E49B7" w:rsidRPr="000E49B7" w:rsidRDefault="000E49B7" w:rsidP="000E49B7">
            <w:pPr>
              <w:spacing w:after="0" w:line="240" w:lineRule="auto"/>
              <w:jc w:val="right"/>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103,413</w:t>
            </w:r>
          </w:p>
        </w:tc>
      </w:tr>
      <w:tr w:rsidR="000E49B7" w:rsidRPr="000E49B7" w14:paraId="7F88C097" w14:textId="77777777" w:rsidTr="000E49B7">
        <w:trPr>
          <w:trHeight w:val="347"/>
          <w:jc w:val="center"/>
        </w:trPr>
        <w:tc>
          <w:tcPr>
            <w:tcW w:w="3710" w:type="dxa"/>
            <w:tcBorders>
              <w:top w:val="nil"/>
              <w:left w:val="nil"/>
              <w:bottom w:val="nil"/>
              <w:right w:val="nil"/>
            </w:tcBorders>
            <w:shd w:val="clear" w:color="auto" w:fill="auto"/>
            <w:noWrap/>
            <w:vAlign w:val="bottom"/>
            <w:hideMark/>
          </w:tcPr>
          <w:p w14:paraId="4269F4DB"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Indiv</w:t>
            </w:r>
            <w:proofErr w:type="spellEnd"/>
            <w:r w:rsidRPr="000E49B7">
              <w:rPr>
                <w:rFonts w:ascii="Times New Roman" w:eastAsia="Malgun Gothic" w:hAnsi="Times New Roman" w:cs="Times New Roman"/>
                <w:color w:val="000000"/>
                <w:sz w:val="24"/>
                <w:szCs w:val="24"/>
              </w:rPr>
              <w:t>. Controls</w:t>
            </w:r>
          </w:p>
        </w:tc>
        <w:tc>
          <w:tcPr>
            <w:tcW w:w="1584" w:type="dxa"/>
            <w:tcBorders>
              <w:top w:val="nil"/>
              <w:left w:val="nil"/>
              <w:bottom w:val="nil"/>
              <w:right w:val="nil"/>
            </w:tcBorders>
            <w:shd w:val="clear" w:color="auto" w:fill="auto"/>
            <w:noWrap/>
            <w:vAlign w:val="bottom"/>
            <w:hideMark/>
          </w:tcPr>
          <w:p w14:paraId="75E345A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3" w:type="dxa"/>
            <w:tcBorders>
              <w:top w:val="nil"/>
              <w:left w:val="nil"/>
              <w:bottom w:val="nil"/>
              <w:right w:val="nil"/>
            </w:tcBorders>
            <w:shd w:val="clear" w:color="auto" w:fill="auto"/>
            <w:noWrap/>
            <w:vAlign w:val="bottom"/>
            <w:hideMark/>
          </w:tcPr>
          <w:p w14:paraId="2AF41E8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84" w:type="dxa"/>
            <w:tcBorders>
              <w:top w:val="nil"/>
              <w:left w:val="nil"/>
              <w:bottom w:val="nil"/>
              <w:right w:val="nil"/>
            </w:tcBorders>
            <w:shd w:val="clear" w:color="auto" w:fill="auto"/>
            <w:noWrap/>
            <w:vAlign w:val="bottom"/>
            <w:hideMark/>
          </w:tcPr>
          <w:p w14:paraId="72446C2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3" w:type="dxa"/>
            <w:tcBorders>
              <w:top w:val="nil"/>
              <w:left w:val="nil"/>
              <w:bottom w:val="nil"/>
              <w:right w:val="nil"/>
            </w:tcBorders>
            <w:shd w:val="clear" w:color="auto" w:fill="auto"/>
            <w:noWrap/>
            <w:vAlign w:val="bottom"/>
            <w:hideMark/>
          </w:tcPr>
          <w:p w14:paraId="45F6BE3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84" w:type="dxa"/>
            <w:tcBorders>
              <w:top w:val="nil"/>
              <w:left w:val="nil"/>
              <w:bottom w:val="nil"/>
              <w:right w:val="nil"/>
            </w:tcBorders>
            <w:shd w:val="clear" w:color="auto" w:fill="auto"/>
            <w:noWrap/>
            <w:vAlign w:val="bottom"/>
            <w:hideMark/>
          </w:tcPr>
          <w:p w14:paraId="25ECCD27"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3" w:type="dxa"/>
            <w:tcBorders>
              <w:top w:val="nil"/>
              <w:left w:val="nil"/>
              <w:bottom w:val="nil"/>
              <w:right w:val="nil"/>
            </w:tcBorders>
            <w:shd w:val="clear" w:color="auto" w:fill="auto"/>
            <w:noWrap/>
            <w:vAlign w:val="bottom"/>
            <w:hideMark/>
          </w:tcPr>
          <w:p w14:paraId="08872458"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84" w:type="dxa"/>
            <w:tcBorders>
              <w:top w:val="nil"/>
              <w:left w:val="nil"/>
              <w:bottom w:val="nil"/>
              <w:right w:val="nil"/>
            </w:tcBorders>
            <w:shd w:val="clear" w:color="auto" w:fill="auto"/>
            <w:noWrap/>
            <w:vAlign w:val="bottom"/>
            <w:hideMark/>
          </w:tcPr>
          <w:p w14:paraId="4389E8E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4" w:type="dxa"/>
            <w:tcBorders>
              <w:top w:val="nil"/>
              <w:left w:val="nil"/>
              <w:bottom w:val="nil"/>
              <w:right w:val="nil"/>
            </w:tcBorders>
            <w:shd w:val="clear" w:color="auto" w:fill="auto"/>
            <w:noWrap/>
            <w:vAlign w:val="bottom"/>
            <w:hideMark/>
          </w:tcPr>
          <w:p w14:paraId="1CB8FB2D"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14CEC33B" w14:textId="77777777" w:rsidTr="000E49B7">
        <w:trPr>
          <w:trHeight w:val="332"/>
          <w:jc w:val="center"/>
        </w:trPr>
        <w:tc>
          <w:tcPr>
            <w:tcW w:w="3710" w:type="dxa"/>
            <w:tcBorders>
              <w:top w:val="nil"/>
              <w:left w:val="nil"/>
              <w:bottom w:val="nil"/>
              <w:right w:val="nil"/>
            </w:tcBorders>
            <w:shd w:val="clear" w:color="auto" w:fill="auto"/>
            <w:noWrap/>
            <w:vAlign w:val="bottom"/>
            <w:hideMark/>
          </w:tcPr>
          <w:p w14:paraId="3C51597E"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proofErr w:type="spellStart"/>
            <w:r w:rsidRPr="000E49B7">
              <w:rPr>
                <w:rFonts w:ascii="Times New Roman" w:eastAsia="Malgun Gothic" w:hAnsi="Times New Roman" w:cs="Times New Roman"/>
                <w:color w:val="000000"/>
                <w:sz w:val="24"/>
                <w:szCs w:val="24"/>
              </w:rPr>
              <w:t>CZ×Year</w:t>
            </w:r>
            <w:proofErr w:type="spellEnd"/>
            <w:r w:rsidRPr="000E49B7">
              <w:rPr>
                <w:rFonts w:ascii="Times New Roman" w:eastAsia="Malgun Gothic" w:hAnsi="Times New Roman" w:cs="Times New Roman"/>
                <w:color w:val="000000"/>
                <w:sz w:val="24"/>
                <w:szCs w:val="24"/>
              </w:rPr>
              <w:t xml:space="preserve"> FE</w:t>
            </w:r>
          </w:p>
        </w:tc>
        <w:tc>
          <w:tcPr>
            <w:tcW w:w="1584" w:type="dxa"/>
            <w:tcBorders>
              <w:top w:val="nil"/>
              <w:left w:val="nil"/>
              <w:bottom w:val="nil"/>
              <w:right w:val="nil"/>
            </w:tcBorders>
            <w:shd w:val="clear" w:color="auto" w:fill="auto"/>
            <w:noWrap/>
            <w:vAlign w:val="bottom"/>
            <w:hideMark/>
          </w:tcPr>
          <w:p w14:paraId="17E2FB5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3" w:type="dxa"/>
            <w:tcBorders>
              <w:top w:val="nil"/>
              <w:left w:val="nil"/>
              <w:bottom w:val="nil"/>
              <w:right w:val="nil"/>
            </w:tcBorders>
            <w:shd w:val="clear" w:color="auto" w:fill="auto"/>
            <w:noWrap/>
            <w:vAlign w:val="bottom"/>
            <w:hideMark/>
          </w:tcPr>
          <w:p w14:paraId="79D0CD6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84" w:type="dxa"/>
            <w:tcBorders>
              <w:top w:val="nil"/>
              <w:left w:val="nil"/>
              <w:bottom w:val="nil"/>
              <w:right w:val="nil"/>
            </w:tcBorders>
            <w:shd w:val="clear" w:color="auto" w:fill="auto"/>
            <w:noWrap/>
            <w:vAlign w:val="bottom"/>
            <w:hideMark/>
          </w:tcPr>
          <w:p w14:paraId="5A660832"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3" w:type="dxa"/>
            <w:tcBorders>
              <w:top w:val="nil"/>
              <w:left w:val="nil"/>
              <w:bottom w:val="nil"/>
              <w:right w:val="nil"/>
            </w:tcBorders>
            <w:shd w:val="clear" w:color="auto" w:fill="auto"/>
            <w:noWrap/>
            <w:vAlign w:val="bottom"/>
            <w:hideMark/>
          </w:tcPr>
          <w:p w14:paraId="17553D2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84" w:type="dxa"/>
            <w:tcBorders>
              <w:top w:val="nil"/>
              <w:left w:val="nil"/>
              <w:bottom w:val="nil"/>
              <w:right w:val="nil"/>
            </w:tcBorders>
            <w:shd w:val="clear" w:color="auto" w:fill="auto"/>
            <w:noWrap/>
            <w:vAlign w:val="bottom"/>
            <w:hideMark/>
          </w:tcPr>
          <w:p w14:paraId="3C17FCF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3" w:type="dxa"/>
            <w:tcBorders>
              <w:top w:val="nil"/>
              <w:left w:val="nil"/>
              <w:bottom w:val="nil"/>
              <w:right w:val="nil"/>
            </w:tcBorders>
            <w:shd w:val="clear" w:color="auto" w:fill="auto"/>
            <w:noWrap/>
            <w:vAlign w:val="bottom"/>
            <w:hideMark/>
          </w:tcPr>
          <w:p w14:paraId="7F4FD2C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84" w:type="dxa"/>
            <w:tcBorders>
              <w:top w:val="nil"/>
              <w:left w:val="nil"/>
              <w:bottom w:val="nil"/>
              <w:right w:val="nil"/>
            </w:tcBorders>
            <w:shd w:val="clear" w:color="auto" w:fill="auto"/>
            <w:noWrap/>
            <w:vAlign w:val="bottom"/>
            <w:hideMark/>
          </w:tcPr>
          <w:p w14:paraId="34575BE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4" w:type="dxa"/>
            <w:tcBorders>
              <w:top w:val="nil"/>
              <w:left w:val="nil"/>
              <w:bottom w:val="nil"/>
              <w:right w:val="nil"/>
            </w:tcBorders>
            <w:shd w:val="clear" w:color="auto" w:fill="auto"/>
            <w:noWrap/>
            <w:vAlign w:val="bottom"/>
            <w:hideMark/>
          </w:tcPr>
          <w:p w14:paraId="166DFEA5"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6D93CF04" w14:textId="77777777" w:rsidTr="000E49B7">
        <w:trPr>
          <w:trHeight w:val="347"/>
          <w:jc w:val="center"/>
        </w:trPr>
        <w:tc>
          <w:tcPr>
            <w:tcW w:w="3710" w:type="dxa"/>
            <w:tcBorders>
              <w:top w:val="nil"/>
              <w:left w:val="nil"/>
              <w:bottom w:val="double" w:sz="6" w:space="0" w:color="auto"/>
              <w:right w:val="nil"/>
            </w:tcBorders>
            <w:shd w:val="clear" w:color="auto" w:fill="auto"/>
            <w:noWrap/>
            <w:vAlign w:val="bottom"/>
            <w:hideMark/>
          </w:tcPr>
          <w:p w14:paraId="5B246641" w14:textId="77777777" w:rsidR="000E49B7" w:rsidRPr="000E49B7" w:rsidRDefault="000E49B7" w:rsidP="000E49B7">
            <w:pPr>
              <w:spacing w:after="0" w:line="240" w:lineRule="auto"/>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State FE</w:t>
            </w:r>
          </w:p>
        </w:tc>
        <w:tc>
          <w:tcPr>
            <w:tcW w:w="1584" w:type="dxa"/>
            <w:tcBorders>
              <w:top w:val="nil"/>
              <w:left w:val="nil"/>
              <w:bottom w:val="double" w:sz="6" w:space="0" w:color="auto"/>
              <w:right w:val="nil"/>
            </w:tcBorders>
            <w:shd w:val="clear" w:color="auto" w:fill="auto"/>
            <w:noWrap/>
            <w:vAlign w:val="bottom"/>
            <w:hideMark/>
          </w:tcPr>
          <w:p w14:paraId="1E73B1D1"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3" w:type="dxa"/>
            <w:tcBorders>
              <w:top w:val="nil"/>
              <w:left w:val="nil"/>
              <w:bottom w:val="double" w:sz="6" w:space="0" w:color="auto"/>
              <w:right w:val="nil"/>
            </w:tcBorders>
            <w:shd w:val="clear" w:color="auto" w:fill="auto"/>
            <w:noWrap/>
            <w:vAlign w:val="bottom"/>
            <w:hideMark/>
          </w:tcPr>
          <w:p w14:paraId="57796F7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84" w:type="dxa"/>
            <w:tcBorders>
              <w:top w:val="nil"/>
              <w:left w:val="nil"/>
              <w:bottom w:val="double" w:sz="6" w:space="0" w:color="auto"/>
              <w:right w:val="nil"/>
            </w:tcBorders>
            <w:shd w:val="clear" w:color="auto" w:fill="auto"/>
            <w:noWrap/>
            <w:vAlign w:val="bottom"/>
            <w:hideMark/>
          </w:tcPr>
          <w:p w14:paraId="68B658E9"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3" w:type="dxa"/>
            <w:tcBorders>
              <w:top w:val="nil"/>
              <w:left w:val="nil"/>
              <w:bottom w:val="double" w:sz="6" w:space="0" w:color="auto"/>
              <w:right w:val="nil"/>
            </w:tcBorders>
            <w:shd w:val="clear" w:color="auto" w:fill="auto"/>
            <w:noWrap/>
            <w:vAlign w:val="bottom"/>
            <w:hideMark/>
          </w:tcPr>
          <w:p w14:paraId="367DC853"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84" w:type="dxa"/>
            <w:tcBorders>
              <w:top w:val="nil"/>
              <w:left w:val="nil"/>
              <w:bottom w:val="double" w:sz="6" w:space="0" w:color="auto"/>
              <w:right w:val="nil"/>
            </w:tcBorders>
            <w:shd w:val="clear" w:color="auto" w:fill="auto"/>
            <w:noWrap/>
            <w:vAlign w:val="bottom"/>
            <w:hideMark/>
          </w:tcPr>
          <w:p w14:paraId="127ADE4A"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3" w:type="dxa"/>
            <w:tcBorders>
              <w:top w:val="nil"/>
              <w:left w:val="nil"/>
              <w:bottom w:val="double" w:sz="6" w:space="0" w:color="auto"/>
              <w:right w:val="nil"/>
            </w:tcBorders>
            <w:shd w:val="clear" w:color="auto" w:fill="auto"/>
            <w:noWrap/>
            <w:vAlign w:val="bottom"/>
            <w:hideMark/>
          </w:tcPr>
          <w:p w14:paraId="0EAE70F6"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584" w:type="dxa"/>
            <w:tcBorders>
              <w:top w:val="nil"/>
              <w:left w:val="nil"/>
              <w:bottom w:val="double" w:sz="6" w:space="0" w:color="auto"/>
              <w:right w:val="nil"/>
            </w:tcBorders>
            <w:shd w:val="clear" w:color="auto" w:fill="auto"/>
            <w:noWrap/>
            <w:vAlign w:val="bottom"/>
            <w:hideMark/>
          </w:tcPr>
          <w:p w14:paraId="55304A0F"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c>
          <w:tcPr>
            <w:tcW w:w="1224" w:type="dxa"/>
            <w:tcBorders>
              <w:top w:val="nil"/>
              <w:left w:val="nil"/>
              <w:bottom w:val="double" w:sz="6" w:space="0" w:color="auto"/>
              <w:right w:val="nil"/>
            </w:tcBorders>
            <w:shd w:val="clear" w:color="auto" w:fill="auto"/>
            <w:noWrap/>
            <w:vAlign w:val="bottom"/>
            <w:hideMark/>
          </w:tcPr>
          <w:p w14:paraId="3896003C" w14:textId="77777777" w:rsidR="000E49B7" w:rsidRPr="000E49B7" w:rsidRDefault="000E49B7" w:rsidP="000E49B7">
            <w:pPr>
              <w:spacing w:after="0" w:line="240" w:lineRule="auto"/>
              <w:jc w:val="center"/>
              <w:rPr>
                <w:rFonts w:ascii="Times New Roman" w:eastAsia="Malgun Gothic" w:hAnsi="Times New Roman" w:cs="Times New Roman"/>
                <w:color w:val="000000"/>
                <w:sz w:val="24"/>
                <w:szCs w:val="24"/>
              </w:rPr>
            </w:pPr>
            <w:r w:rsidRPr="000E49B7">
              <w:rPr>
                <w:rFonts w:ascii="Times New Roman" w:eastAsia="Malgun Gothic" w:hAnsi="Times New Roman" w:cs="Times New Roman"/>
                <w:color w:val="000000"/>
                <w:sz w:val="24"/>
                <w:szCs w:val="24"/>
              </w:rPr>
              <w:t>Y</w:t>
            </w:r>
          </w:p>
        </w:tc>
      </w:tr>
      <w:tr w:rsidR="000E49B7" w:rsidRPr="000E49B7" w14:paraId="0D17A182" w14:textId="77777777" w:rsidTr="000E49B7">
        <w:trPr>
          <w:trHeight w:val="1137"/>
          <w:jc w:val="center"/>
        </w:trPr>
        <w:tc>
          <w:tcPr>
            <w:tcW w:w="14943" w:type="dxa"/>
            <w:gridSpan w:val="9"/>
            <w:tcBorders>
              <w:top w:val="nil"/>
              <w:left w:val="nil"/>
              <w:bottom w:val="nil"/>
              <w:right w:val="nil"/>
            </w:tcBorders>
            <w:shd w:val="clear" w:color="auto" w:fill="auto"/>
            <w:hideMark/>
          </w:tcPr>
          <w:p w14:paraId="5A79C8C2" w14:textId="77777777" w:rsidR="000E49B7" w:rsidRPr="000E49B7" w:rsidRDefault="000E49B7" w:rsidP="000E49B7">
            <w:pPr>
              <w:spacing w:after="0" w:line="240" w:lineRule="auto"/>
              <w:jc w:val="both"/>
              <w:rPr>
                <w:rFonts w:ascii="Times New Roman" w:eastAsia="Malgun Gothic" w:hAnsi="Times New Roman" w:cs="Times New Roman"/>
                <w:color w:val="000000"/>
                <w:sz w:val="20"/>
                <w:szCs w:val="20"/>
              </w:rPr>
            </w:pPr>
            <w:r w:rsidRPr="000E49B7">
              <w:rPr>
                <w:rFonts w:ascii="Times New Roman" w:eastAsia="Malgun Gothic" w:hAnsi="Times New Roman" w:cs="Times New Roman"/>
                <w:i/>
                <w:iCs/>
                <w:color w:val="000000"/>
                <w:sz w:val="20"/>
                <w:szCs w:val="20"/>
              </w:rPr>
              <w:t xml:space="preserve">Notes: </w:t>
            </w:r>
            <w:r w:rsidRPr="000E49B7">
              <w:rPr>
                <w:rFonts w:ascii="Times New Roman" w:eastAsia="Malgun Gothic" w:hAnsi="Times New Roman" w:cs="Times New Roman"/>
                <w:color w:val="000000"/>
                <w:sz w:val="20"/>
                <w:szCs w:val="20"/>
              </w:rPr>
              <w:t xml:space="preserve">The dependent variable is the annual earnings. We use Equation (1) to calculate estimates. Columns 1 and 2 </w:t>
            </w:r>
            <w:proofErr w:type="gramStart"/>
            <w:r w:rsidRPr="000E49B7">
              <w:rPr>
                <w:rFonts w:ascii="Times New Roman" w:eastAsia="Malgun Gothic" w:hAnsi="Times New Roman" w:cs="Times New Roman"/>
                <w:color w:val="000000"/>
                <w:sz w:val="20"/>
                <w:szCs w:val="20"/>
              </w:rPr>
              <w:t>presents</w:t>
            </w:r>
            <w:proofErr w:type="gramEnd"/>
            <w:r w:rsidRPr="000E49B7">
              <w:rPr>
                <w:rFonts w:ascii="Times New Roman" w:eastAsia="Malgun Gothic" w:hAnsi="Times New Roman" w:cs="Times New Roman"/>
                <w:color w:val="000000"/>
                <w:sz w:val="20"/>
                <w:szCs w:val="20"/>
              </w:rPr>
              <w:t xml:space="preserve"> the results that use union density as a measure of union strength, Columns 3 and 4 union expenditure per student, Columns 5 and 6 union dues per teacher, and Columns 7 and 8 union </w:t>
            </w:r>
            <w:proofErr w:type="gramStart"/>
            <w:r w:rsidRPr="000E49B7">
              <w:rPr>
                <w:rFonts w:ascii="Times New Roman" w:eastAsia="Malgun Gothic" w:hAnsi="Times New Roman" w:cs="Times New Roman"/>
                <w:color w:val="000000"/>
                <w:sz w:val="20"/>
                <w:szCs w:val="20"/>
              </w:rPr>
              <w:t>index</w:t>
            </w:r>
            <w:proofErr w:type="gramEnd"/>
            <w:r w:rsidRPr="000E49B7">
              <w:rPr>
                <w:rFonts w:ascii="Times New Roman" w:eastAsia="Malgun Gothic" w:hAnsi="Times New Roman" w:cs="Times New Roman"/>
                <w:color w:val="000000"/>
                <w:sz w:val="20"/>
                <w:szCs w:val="20"/>
              </w:rPr>
              <w:t xml:space="preserve">. All these four measures of union strength are standardized to have a mean of zero and a standard deviation of one. See the text for detail. Standard errors are clustered at the state level. * </w:t>
            </w:r>
            <w:proofErr w:type="gramStart"/>
            <w:r w:rsidRPr="000E49B7">
              <w:rPr>
                <w:rFonts w:ascii="Times New Roman" w:eastAsia="Malgun Gothic" w:hAnsi="Times New Roman" w:cs="Times New Roman"/>
                <w:color w:val="000000"/>
                <w:sz w:val="20"/>
                <w:szCs w:val="20"/>
              </w:rPr>
              <w:t>denotes</w:t>
            </w:r>
            <w:proofErr w:type="gramEnd"/>
            <w:r w:rsidRPr="000E49B7">
              <w:rPr>
                <w:rFonts w:ascii="Times New Roman" w:eastAsia="Malgun Gothic" w:hAnsi="Times New Roman" w:cs="Times New Roman"/>
                <w:color w:val="000000"/>
                <w:sz w:val="20"/>
                <w:szCs w:val="20"/>
              </w:rPr>
              <w:t xml:space="preserve"> significance at the ten percent level, ** denotes at the five percent level, and *** denotes at the one percent level.</w:t>
            </w:r>
          </w:p>
        </w:tc>
      </w:tr>
    </w:tbl>
    <w:p w14:paraId="696A3266" w14:textId="77777777" w:rsidR="000E49B7" w:rsidRDefault="000E49B7" w:rsidP="000E49B7">
      <w:pPr>
        <w:widowControl w:val="0"/>
        <w:autoSpaceDE w:val="0"/>
        <w:autoSpaceDN w:val="0"/>
        <w:adjustRightInd w:val="0"/>
        <w:spacing w:line="240" w:lineRule="auto"/>
        <w:jc w:val="both"/>
        <w:rPr>
          <w:rFonts w:ascii="Times New Roman" w:eastAsia="CMR10" w:hAnsi="Times New Roman" w:cs="Times New Roman"/>
          <w:sz w:val="24"/>
          <w:szCs w:val="24"/>
          <w14:ligatures w14:val="standardContextual"/>
        </w:rPr>
      </w:pPr>
    </w:p>
    <w:p w14:paraId="531BBC18" w14:textId="77777777" w:rsidR="000E49B7" w:rsidRDefault="000E49B7" w:rsidP="000E49B7">
      <w:pPr>
        <w:spacing w:after="0" w:line="240" w:lineRule="auto"/>
        <w:jc w:val="center"/>
        <w:rPr>
          <w:rFonts w:ascii="Times New Roman" w:eastAsia="Malgun Gothic" w:hAnsi="Times New Roman" w:cs="Times New Roman"/>
          <w:b/>
          <w:bCs/>
          <w:color w:val="000000"/>
          <w:sz w:val="24"/>
          <w:szCs w:val="24"/>
        </w:rPr>
        <w:sectPr w:rsidR="000E49B7" w:rsidSect="000E49B7">
          <w:pgSz w:w="16838" w:h="11906" w:orient="landscape"/>
          <w:pgMar w:top="1440" w:right="1440" w:bottom="1440" w:left="1440" w:header="851" w:footer="992" w:gutter="0"/>
          <w:cols w:space="425"/>
          <w:docGrid w:linePitch="360"/>
        </w:sectPr>
      </w:pPr>
    </w:p>
    <w:tbl>
      <w:tblPr>
        <w:tblW w:w="11351" w:type="dxa"/>
        <w:jc w:val="center"/>
        <w:tblCellMar>
          <w:left w:w="99" w:type="dxa"/>
          <w:right w:w="99" w:type="dxa"/>
        </w:tblCellMar>
        <w:tblLook w:val="04A0" w:firstRow="1" w:lastRow="0" w:firstColumn="1" w:lastColumn="0" w:noHBand="0" w:noVBand="1"/>
      </w:tblPr>
      <w:tblGrid>
        <w:gridCol w:w="813"/>
        <w:gridCol w:w="4745"/>
        <w:gridCol w:w="1026"/>
        <w:gridCol w:w="4767"/>
      </w:tblGrid>
      <w:tr w:rsidR="002831AA" w:rsidRPr="002831AA" w14:paraId="6030A83E" w14:textId="77777777" w:rsidTr="002831AA">
        <w:trPr>
          <w:trHeight w:val="315"/>
          <w:jc w:val="center"/>
        </w:trPr>
        <w:tc>
          <w:tcPr>
            <w:tcW w:w="11351" w:type="dxa"/>
            <w:gridSpan w:val="4"/>
            <w:tcBorders>
              <w:top w:val="nil"/>
              <w:left w:val="nil"/>
              <w:bottom w:val="double" w:sz="6" w:space="0" w:color="auto"/>
              <w:right w:val="nil"/>
            </w:tcBorders>
            <w:shd w:val="clear" w:color="auto" w:fill="auto"/>
            <w:noWrap/>
            <w:vAlign w:val="bottom"/>
            <w:hideMark/>
          </w:tcPr>
          <w:p w14:paraId="56965466" w14:textId="77777777" w:rsidR="002831AA" w:rsidRPr="002831AA" w:rsidRDefault="002831AA" w:rsidP="002831AA">
            <w:pPr>
              <w:spacing w:after="0" w:line="240" w:lineRule="auto"/>
              <w:jc w:val="center"/>
              <w:rPr>
                <w:rFonts w:ascii="Times New Roman" w:eastAsia="Malgun Gothic" w:hAnsi="Times New Roman" w:cs="Times New Roman"/>
                <w:b/>
                <w:bCs/>
                <w:color w:val="000000"/>
                <w:sz w:val="24"/>
                <w:szCs w:val="24"/>
              </w:rPr>
            </w:pPr>
            <w:r w:rsidRPr="002831AA">
              <w:rPr>
                <w:rFonts w:ascii="Times New Roman" w:eastAsia="Malgun Gothic" w:hAnsi="Times New Roman" w:cs="Times New Roman"/>
                <w:b/>
                <w:bCs/>
                <w:color w:val="000000"/>
                <w:sz w:val="24"/>
                <w:szCs w:val="24"/>
              </w:rPr>
              <w:lastRenderedPageBreak/>
              <w:t>Table A7: STEM Degree Codes in the ACS Data</w:t>
            </w:r>
          </w:p>
        </w:tc>
      </w:tr>
      <w:tr w:rsidR="002831AA" w:rsidRPr="002831AA" w14:paraId="50CD5753" w14:textId="77777777" w:rsidTr="002831AA">
        <w:trPr>
          <w:trHeight w:val="589"/>
          <w:jc w:val="center"/>
        </w:trPr>
        <w:tc>
          <w:tcPr>
            <w:tcW w:w="813" w:type="dxa"/>
            <w:tcBorders>
              <w:top w:val="nil"/>
              <w:left w:val="nil"/>
              <w:bottom w:val="nil"/>
              <w:right w:val="nil"/>
            </w:tcBorders>
            <w:shd w:val="clear" w:color="auto" w:fill="auto"/>
            <w:vAlign w:val="bottom"/>
            <w:hideMark/>
          </w:tcPr>
          <w:p w14:paraId="45B32E89" w14:textId="77777777" w:rsidR="002831AA" w:rsidRPr="002831AA" w:rsidRDefault="002831AA" w:rsidP="002831AA">
            <w:pPr>
              <w:spacing w:after="0" w:line="240" w:lineRule="auto"/>
              <w:rPr>
                <w:rFonts w:ascii="Times New Roman" w:eastAsia="Malgun Gothic" w:hAnsi="Times New Roman" w:cs="Times New Roman"/>
                <w:color w:val="000000"/>
                <w:sz w:val="24"/>
                <w:szCs w:val="24"/>
              </w:rPr>
            </w:pPr>
            <w:r w:rsidRPr="002831AA">
              <w:rPr>
                <w:rFonts w:ascii="Times New Roman" w:eastAsia="Malgun Gothic" w:hAnsi="Times New Roman" w:cs="Times New Roman"/>
                <w:color w:val="000000"/>
                <w:sz w:val="24"/>
                <w:szCs w:val="24"/>
              </w:rPr>
              <w:t>ACS Code</w:t>
            </w:r>
          </w:p>
        </w:tc>
        <w:tc>
          <w:tcPr>
            <w:tcW w:w="4745" w:type="dxa"/>
            <w:tcBorders>
              <w:top w:val="nil"/>
              <w:left w:val="nil"/>
              <w:bottom w:val="nil"/>
              <w:right w:val="nil"/>
            </w:tcBorders>
            <w:shd w:val="clear" w:color="auto" w:fill="auto"/>
            <w:vAlign w:val="bottom"/>
            <w:hideMark/>
          </w:tcPr>
          <w:p w14:paraId="060D19B6" w14:textId="77777777" w:rsidR="002831AA" w:rsidRPr="002831AA" w:rsidRDefault="002831AA" w:rsidP="002831AA">
            <w:pPr>
              <w:spacing w:after="0" w:line="240" w:lineRule="auto"/>
              <w:rPr>
                <w:rFonts w:ascii="Times New Roman" w:eastAsia="Malgun Gothic" w:hAnsi="Times New Roman" w:cs="Times New Roman"/>
                <w:color w:val="000000"/>
                <w:sz w:val="24"/>
                <w:szCs w:val="24"/>
              </w:rPr>
            </w:pPr>
            <w:r w:rsidRPr="002831AA">
              <w:rPr>
                <w:rFonts w:ascii="Times New Roman" w:eastAsia="Malgun Gothic" w:hAnsi="Times New Roman" w:cs="Times New Roman"/>
                <w:color w:val="000000"/>
                <w:sz w:val="24"/>
                <w:szCs w:val="24"/>
              </w:rPr>
              <w:t>College Major</w:t>
            </w:r>
          </w:p>
        </w:tc>
        <w:tc>
          <w:tcPr>
            <w:tcW w:w="1026" w:type="dxa"/>
            <w:tcBorders>
              <w:top w:val="nil"/>
              <w:left w:val="nil"/>
              <w:bottom w:val="nil"/>
              <w:right w:val="nil"/>
            </w:tcBorders>
            <w:shd w:val="clear" w:color="auto" w:fill="auto"/>
            <w:vAlign w:val="bottom"/>
            <w:hideMark/>
          </w:tcPr>
          <w:p w14:paraId="3FA009B9" w14:textId="77777777" w:rsidR="002831AA" w:rsidRPr="002831AA" w:rsidRDefault="002831AA" w:rsidP="002831AA">
            <w:pPr>
              <w:spacing w:after="0" w:line="240" w:lineRule="auto"/>
              <w:rPr>
                <w:rFonts w:ascii="Times New Roman" w:eastAsia="Malgun Gothic" w:hAnsi="Times New Roman" w:cs="Times New Roman"/>
                <w:color w:val="000000"/>
                <w:sz w:val="24"/>
                <w:szCs w:val="24"/>
              </w:rPr>
            </w:pPr>
            <w:r w:rsidRPr="002831AA">
              <w:rPr>
                <w:rFonts w:ascii="Times New Roman" w:eastAsia="Malgun Gothic" w:hAnsi="Times New Roman" w:cs="Times New Roman"/>
                <w:color w:val="000000"/>
                <w:sz w:val="24"/>
                <w:szCs w:val="24"/>
              </w:rPr>
              <w:t>ACS Code</w:t>
            </w:r>
          </w:p>
        </w:tc>
        <w:tc>
          <w:tcPr>
            <w:tcW w:w="4765" w:type="dxa"/>
            <w:tcBorders>
              <w:top w:val="nil"/>
              <w:left w:val="nil"/>
              <w:bottom w:val="nil"/>
              <w:right w:val="nil"/>
            </w:tcBorders>
            <w:shd w:val="clear" w:color="auto" w:fill="auto"/>
            <w:vAlign w:val="bottom"/>
            <w:hideMark/>
          </w:tcPr>
          <w:p w14:paraId="79A1D74B" w14:textId="77777777" w:rsidR="002831AA" w:rsidRPr="002831AA" w:rsidRDefault="002831AA" w:rsidP="002831AA">
            <w:pPr>
              <w:spacing w:after="0" w:line="240" w:lineRule="auto"/>
              <w:rPr>
                <w:rFonts w:ascii="Times New Roman" w:eastAsia="Malgun Gothic" w:hAnsi="Times New Roman" w:cs="Times New Roman"/>
                <w:color w:val="000000"/>
                <w:sz w:val="24"/>
                <w:szCs w:val="24"/>
              </w:rPr>
            </w:pPr>
            <w:r w:rsidRPr="002831AA">
              <w:rPr>
                <w:rFonts w:ascii="Times New Roman" w:eastAsia="Malgun Gothic" w:hAnsi="Times New Roman" w:cs="Times New Roman"/>
                <w:color w:val="000000"/>
                <w:sz w:val="24"/>
                <w:szCs w:val="24"/>
              </w:rPr>
              <w:t>College Major</w:t>
            </w:r>
          </w:p>
        </w:tc>
      </w:tr>
      <w:tr w:rsidR="002831AA" w:rsidRPr="002831AA" w14:paraId="682433CD"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709BE763"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1103</w:t>
            </w:r>
          </w:p>
        </w:tc>
        <w:tc>
          <w:tcPr>
            <w:tcW w:w="4745" w:type="dxa"/>
            <w:tcBorders>
              <w:top w:val="nil"/>
              <w:left w:val="nil"/>
              <w:bottom w:val="nil"/>
              <w:right w:val="nil"/>
            </w:tcBorders>
            <w:shd w:val="clear" w:color="auto" w:fill="auto"/>
            <w:noWrap/>
            <w:vAlign w:val="bottom"/>
            <w:hideMark/>
          </w:tcPr>
          <w:p w14:paraId="2808B1CF"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Animal Sciences</w:t>
            </w:r>
          </w:p>
        </w:tc>
        <w:tc>
          <w:tcPr>
            <w:tcW w:w="1026" w:type="dxa"/>
            <w:tcBorders>
              <w:top w:val="nil"/>
              <w:left w:val="nil"/>
              <w:bottom w:val="nil"/>
              <w:right w:val="nil"/>
            </w:tcBorders>
            <w:shd w:val="clear" w:color="auto" w:fill="auto"/>
            <w:noWrap/>
            <w:vAlign w:val="bottom"/>
            <w:hideMark/>
          </w:tcPr>
          <w:p w14:paraId="709A1AF4"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2599</w:t>
            </w:r>
          </w:p>
        </w:tc>
        <w:tc>
          <w:tcPr>
            <w:tcW w:w="4765" w:type="dxa"/>
            <w:tcBorders>
              <w:top w:val="nil"/>
              <w:left w:val="nil"/>
              <w:bottom w:val="nil"/>
              <w:right w:val="nil"/>
            </w:tcBorders>
            <w:shd w:val="clear" w:color="auto" w:fill="auto"/>
            <w:noWrap/>
            <w:vAlign w:val="bottom"/>
            <w:hideMark/>
          </w:tcPr>
          <w:p w14:paraId="6308EACA"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Miscellaneous Engineering</w:t>
            </w:r>
          </w:p>
        </w:tc>
      </w:tr>
      <w:tr w:rsidR="002831AA" w:rsidRPr="002831AA" w14:paraId="00036F0A"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4FE4394E"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1104</w:t>
            </w:r>
          </w:p>
        </w:tc>
        <w:tc>
          <w:tcPr>
            <w:tcW w:w="4745" w:type="dxa"/>
            <w:tcBorders>
              <w:top w:val="nil"/>
              <w:left w:val="nil"/>
              <w:bottom w:val="nil"/>
              <w:right w:val="nil"/>
            </w:tcBorders>
            <w:shd w:val="clear" w:color="auto" w:fill="auto"/>
            <w:noWrap/>
            <w:vAlign w:val="bottom"/>
            <w:hideMark/>
          </w:tcPr>
          <w:p w14:paraId="01774C84"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Food Science</w:t>
            </w:r>
          </w:p>
        </w:tc>
        <w:tc>
          <w:tcPr>
            <w:tcW w:w="1026" w:type="dxa"/>
            <w:tcBorders>
              <w:top w:val="nil"/>
              <w:left w:val="nil"/>
              <w:bottom w:val="nil"/>
              <w:right w:val="nil"/>
            </w:tcBorders>
            <w:shd w:val="clear" w:color="auto" w:fill="auto"/>
            <w:noWrap/>
            <w:vAlign w:val="bottom"/>
            <w:hideMark/>
          </w:tcPr>
          <w:p w14:paraId="58BF1C00" w14:textId="77777777" w:rsidR="002831AA" w:rsidRPr="002831AA" w:rsidRDefault="002831AA" w:rsidP="002831AA">
            <w:pPr>
              <w:spacing w:after="0" w:line="240" w:lineRule="auto"/>
              <w:rPr>
                <w:rFonts w:ascii="Times New Roman" w:eastAsia="Malgun Gothic" w:hAnsi="Times New Roman" w:cs="Times New Roman"/>
                <w:color w:val="000000"/>
              </w:rPr>
            </w:pPr>
          </w:p>
        </w:tc>
        <w:tc>
          <w:tcPr>
            <w:tcW w:w="4765" w:type="dxa"/>
            <w:tcBorders>
              <w:top w:val="nil"/>
              <w:left w:val="nil"/>
              <w:bottom w:val="nil"/>
              <w:right w:val="nil"/>
            </w:tcBorders>
            <w:shd w:val="clear" w:color="auto" w:fill="auto"/>
            <w:noWrap/>
            <w:vAlign w:val="bottom"/>
            <w:hideMark/>
          </w:tcPr>
          <w:p w14:paraId="36A200BF"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Technologies</w:t>
            </w:r>
          </w:p>
        </w:tc>
      </w:tr>
      <w:tr w:rsidR="002831AA" w:rsidRPr="002831AA" w14:paraId="1072FD57"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1EC78955"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1105</w:t>
            </w:r>
          </w:p>
        </w:tc>
        <w:tc>
          <w:tcPr>
            <w:tcW w:w="4745" w:type="dxa"/>
            <w:tcBorders>
              <w:top w:val="nil"/>
              <w:left w:val="nil"/>
              <w:bottom w:val="nil"/>
              <w:right w:val="nil"/>
            </w:tcBorders>
            <w:shd w:val="clear" w:color="auto" w:fill="auto"/>
            <w:noWrap/>
            <w:vAlign w:val="bottom"/>
            <w:hideMark/>
          </w:tcPr>
          <w:p w14:paraId="67EC4C48"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Plant Science and Agronomy</w:t>
            </w:r>
          </w:p>
        </w:tc>
        <w:tc>
          <w:tcPr>
            <w:tcW w:w="1026" w:type="dxa"/>
            <w:tcBorders>
              <w:top w:val="nil"/>
              <w:left w:val="nil"/>
              <w:bottom w:val="nil"/>
              <w:right w:val="nil"/>
            </w:tcBorders>
            <w:shd w:val="clear" w:color="auto" w:fill="auto"/>
            <w:noWrap/>
            <w:vAlign w:val="bottom"/>
            <w:hideMark/>
          </w:tcPr>
          <w:p w14:paraId="6F375BFA"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3600</w:t>
            </w:r>
          </w:p>
        </w:tc>
        <w:tc>
          <w:tcPr>
            <w:tcW w:w="4765" w:type="dxa"/>
            <w:tcBorders>
              <w:top w:val="nil"/>
              <w:left w:val="nil"/>
              <w:bottom w:val="nil"/>
              <w:right w:val="nil"/>
            </w:tcBorders>
            <w:shd w:val="clear" w:color="auto" w:fill="auto"/>
            <w:noWrap/>
            <w:vAlign w:val="bottom"/>
            <w:hideMark/>
          </w:tcPr>
          <w:p w14:paraId="39D08B0B"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Biology</w:t>
            </w:r>
          </w:p>
        </w:tc>
      </w:tr>
      <w:tr w:rsidR="002831AA" w:rsidRPr="002831AA" w14:paraId="6E6DCEFE"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266DAC01"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1106</w:t>
            </w:r>
          </w:p>
        </w:tc>
        <w:tc>
          <w:tcPr>
            <w:tcW w:w="4745" w:type="dxa"/>
            <w:tcBorders>
              <w:top w:val="nil"/>
              <w:left w:val="nil"/>
              <w:bottom w:val="nil"/>
              <w:right w:val="nil"/>
            </w:tcBorders>
            <w:shd w:val="clear" w:color="auto" w:fill="auto"/>
            <w:noWrap/>
            <w:vAlign w:val="bottom"/>
            <w:hideMark/>
          </w:tcPr>
          <w:p w14:paraId="586C5B15"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Soil Science</w:t>
            </w:r>
          </w:p>
        </w:tc>
        <w:tc>
          <w:tcPr>
            <w:tcW w:w="1026" w:type="dxa"/>
            <w:tcBorders>
              <w:top w:val="nil"/>
              <w:left w:val="nil"/>
              <w:bottom w:val="nil"/>
              <w:right w:val="nil"/>
            </w:tcBorders>
            <w:shd w:val="clear" w:color="auto" w:fill="auto"/>
            <w:noWrap/>
            <w:vAlign w:val="bottom"/>
            <w:hideMark/>
          </w:tcPr>
          <w:p w14:paraId="4FEF21B9"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3601</w:t>
            </w:r>
          </w:p>
        </w:tc>
        <w:tc>
          <w:tcPr>
            <w:tcW w:w="4765" w:type="dxa"/>
            <w:tcBorders>
              <w:top w:val="nil"/>
              <w:left w:val="nil"/>
              <w:bottom w:val="nil"/>
              <w:right w:val="nil"/>
            </w:tcBorders>
            <w:shd w:val="clear" w:color="auto" w:fill="auto"/>
            <w:noWrap/>
            <w:vAlign w:val="bottom"/>
            <w:hideMark/>
          </w:tcPr>
          <w:p w14:paraId="23EDA208"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Biochemical Sciences</w:t>
            </w:r>
          </w:p>
        </w:tc>
      </w:tr>
      <w:tr w:rsidR="002831AA" w:rsidRPr="002831AA" w14:paraId="000C4EB2"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05AAC80F"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1301</w:t>
            </w:r>
          </w:p>
        </w:tc>
        <w:tc>
          <w:tcPr>
            <w:tcW w:w="4745" w:type="dxa"/>
            <w:tcBorders>
              <w:top w:val="nil"/>
              <w:left w:val="nil"/>
              <w:bottom w:val="nil"/>
              <w:right w:val="nil"/>
            </w:tcBorders>
            <w:shd w:val="clear" w:color="auto" w:fill="auto"/>
            <w:noWrap/>
            <w:vAlign w:val="bottom"/>
            <w:hideMark/>
          </w:tcPr>
          <w:p w14:paraId="03C99C94"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Environmental Science</w:t>
            </w:r>
          </w:p>
        </w:tc>
        <w:tc>
          <w:tcPr>
            <w:tcW w:w="1026" w:type="dxa"/>
            <w:tcBorders>
              <w:top w:val="nil"/>
              <w:left w:val="nil"/>
              <w:bottom w:val="nil"/>
              <w:right w:val="nil"/>
            </w:tcBorders>
            <w:shd w:val="clear" w:color="auto" w:fill="auto"/>
            <w:noWrap/>
            <w:vAlign w:val="bottom"/>
            <w:hideMark/>
          </w:tcPr>
          <w:p w14:paraId="688884EC"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3602</w:t>
            </w:r>
          </w:p>
        </w:tc>
        <w:tc>
          <w:tcPr>
            <w:tcW w:w="4765" w:type="dxa"/>
            <w:tcBorders>
              <w:top w:val="nil"/>
              <w:left w:val="nil"/>
              <w:bottom w:val="nil"/>
              <w:right w:val="nil"/>
            </w:tcBorders>
            <w:shd w:val="clear" w:color="auto" w:fill="auto"/>
            <w:noWrap/>
            <w:vAlign w:val="bottom"/>
            <w:hideMark/>
          </w:tcPr>
          <w:p w14:paraId="5860438D"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Botany</w:t>
            </w:r>
          </w:p>
        </w:tc>
      </w:tr>
      <w:tr w:rsidR="002831AA" w:rsidRPr="002831AA" w14:paraId="548A06E9"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7333A74D"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1302</w:t>
            </w:r>
          </w:p>
        </w:tc>
        <w:tc>
          <w:tcPr>
            <w:tcW w:w="4745" w:type="dxa"/>
            <w:tcBorders>
              <w:top w:val="nil"/>
              <w:left w:val="nil"/>
              <w:bottom w:val="nil"/>
              <w:right w:val="nil"/>
            </w:tcBorders>
            <w:shd w:val="clear" w:color="auto" w:fill="auto"/>
            <w:noWrap/>
            <w:vAlign w:val="bottom"/>
            <w:hideMark/>
          </w:tcPr>
          <w:p w14:paraId="1FA62E5C"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Forestry</w:t>
            </w:r>
          </w:p>
        </w:tc>
        <w:tc>
          <w:tcPr>
            <w:tcW w:w="1026" w:type="dxa"/>
            <w:tcBorders>
              <w:top w:val="nil"/>
              <w:left w:val="nil"/>
              <w:bottom w:val="nil"/>
              <w:right w:val="nil"/>
            </w:tcBorders>
            <w:shd w:val="clear" w:color="auto" w:fill="auto"/>
            <w:noWrap/>
            <w:vAlign w:val="bottom"/>
            <w:hideMark/>
          </w:tcPr>
          <w:p w14:paraId="454D4A93"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3603</w:t>
            </w:r>
          </w:p>
        </w:tc>
        <w:tc>
          <w:tcPr>
            <w:tcW w:w="4765" w:type="dxa"/>
            <w:tcBorders>
              <w:top w:val="nil"/>
              <w:left w:val="nil"/>
              <w:bottom w:val="nil"/>
              <w:right w:val="nil"/>
            </w:tcBorders>
            <w:shd w:val="clear" w:color="auto" w:fill="auto"/>
            <w:noWrap/>
            <w:vAlign w:val="bottom"/>
            <w:hideMark/>
          </w:tcPr>
          <w:p w14:paraId="4132CA5C"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Molecular Biology</w:t>
            </w:r>
          </w:p>
        </w:tc>
      </w:tr>
      <w:tr w:rsidR="002831AA" w:rsidRPr="002831AA" w14:paraId="4C53C7F9"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4E37EA2A"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1401</w:t>
            </w:r>
          </w:p>
        </w:tc>
        <w:tc>
          <w:tcPr>
            <w:tcW w:w="4745" w:type="dxa"/>
            <w:tcBorders>
              <w:top w:val="nil"/>
              <w:left w:val="nil"/>
              <w:bottom w:val="nil"/>
              <w:right w:val="nil"/>
            </w:tcBorders>
            <w:shd w:val="clear" w:color="auto" w:fill="auto"/>
            <w:noWrap/>
            <w:vAlign w:val="bottom"/>
            <w:hideMark/>
          </w:tcPr>
          <w:p w14:paraId="521F3F13"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Architecture</w:t>
            </w:r>
          </w:p>
        </w:tc>
        <w:tc>
          <w:tcPr>
            <w:tcW w:w="1026" w:type="dxa"/>
            <w:tcBorders>
              <w:top w:val="nil"/>
              <w:left w:val="nil"/>
              <w:bottom w:val="nil"/>
              <w:right w:val="nil"/>
            </w:tcBorders>
            <w:shd w:val="clear" w:color="auto" w:fill="auto"/>
            <w:noWrap/>
            <w:vAlign w:val="bottom"/>
            <w:hideMark/>
          </w:tcPr>
          <w:p w14:paraId="13C3925F"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3604</w:t>
            </w:r>
          </w:p>
        </w:tc>
        <w:tc>
          <w:tcPr>
            <w:tcW w:w="4765" w:type="dxa"/>
            <w:tcBorders>
              <w:top w:val="nil"/>
              <w:left w:val="nil"/>
              <w:bottom w:val="nil"/>
              <w:right w:val="nil"/>
            </w:tcBorders>
            <w:shd w:val="clear" w:color="auto" w:fill="auto"/>
            <w:noWrap/>
            <w:vAlign w:val="bottom"/>
            <w:hideMark/>
          </w:tcPr>
          <w:p w14:paraId="50D31184"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Ecology</w:t>
            </w:r>
          </w:p>
        </w:tc>
      </w:tr>
      <w:tr w:rsidR="002831AA" w:rsidRPr="002831AA" w14:paraId="6F6FB273"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452B7F30"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2001</w:t>
            </w:r>
          </w:p>
        </w:tc>
        <w:tc>
          <w:tcPr>
            <w:tcW w:w="4745" w:type="dxa"/>
            <w:tcBorders>
              <w:top w:val="nil"/>
              <w:left w:val="nil"/>
              <w:bottom w:val="nil"/>
              <w:right w:val="nil"/>
            </w:tcBorders>
            <w:shd w:val="clear" w:color="auto" w:fill="auto"/>
            <w:noWrap/>
            <w:vAlign w:val="bottom"/>
            <w:hideMark/>
          </w:tcPr>
          <w:p w14:paraId="30BB2536"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Communication Technologies</w:t>
            </w:r>
          </w:p>
        </w:tc>
        <w:tc>
          <w:tcPr>
            <w:tcW w:w="1026" w:type="dxa"/>
            <w:tcBorders>
              <w:top w:val="nil"/>
              <w:left w:val="nil"/>
              <w:bottom w:val="nil"/>
              <w:right w:val="nil"/>
            </w:tcBorders>
            <w:shd w:val="clear" w:color="auto" w:fill="auto"/>
            <w:noWrap/>
            <w:vAlign w:val="bottom"/>
            <w:hideMark/>
          </w:tcPr>
          <w:p w14:paraId="168F5B1E"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3605</w:t>
            </w:r>
          </w:p>
        </w:tc>
        <w:tc>
          <w:tcPr>
            <w:tcW w:w="4765" w:type="dxa"/>
            <w:tcBorders>
              <w:top w:val="nil"/>
              <w:left w:val="nil"/>
              <w:bottom w:val="nil"/>
              <w:right w:val="nil"/>
            </w:tcBorders>
            <w:shd w:val="clear" w:color="auto" w:fill="auto"/>
            <w:noWrap/>
            <w:vAlign w:val="bottom"/>
            <w:hideMark/>
          </w:tcPr>
          <w:p w14:paraId="14A740DA"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Genetics</w:t>
            </w:r>
          </w:p>
        </w:tc>
      </w:tr>
      <w:tr w:rsidR="002831AA" w:rsidRPr="002831AA" w14:paraId="352DCA05"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2B1DDC04"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2100</w:t>
            </w:r>
          </w:p>
        </w:tc>
        <w:tc>
          <w:tcPr>
            <w:tcW w:w="4745" w:type="dxa"/>
            <w:tcBorders>
              <w:top w:val="nil"/>
              <w:left w:val="nil"/>
              <w:bottom w:val="nil"/>
              <w:right w:val="nil"/>
            </w:tcBorders>
            <w:shd w:val="clear" w:color="auto" w:fill="auto"/>
            <w:noWrap/>
            <w:vAlign w:val="bottom"/>
            <w:hideMark/>
          </w:tcPr>
          <w:p w14:paraId="338E5135"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Computer and Information Systems</w:t>
            </w:r>
          </w:p>
        </w:tc>
        <w:tc>
          <w:tcPr>
            <w:tcW w:w="1026" w:type="dxa"/>
            <w:tcBorders>
              <w:top w:val="nil"/>
              <w:left w:val="nil"/>
              <w:bottom w:val="nil"/>
              <w:right w:val="nil"/>
            </w:tcBorders>
            <w:shd w:val="clear" w:color="auto" w:fill="auto"/>
            <w:noWrap/>
            <w:vAlign w:val="bottom"/>
            <w:hideMark/>
          </w:tcPr>
          <w:p w14:paraId="75CE2A3A"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3606</w:t>
            </w:r>
          </w:p>
        </w:tc>
        <w:tc>
          <w:tcPr>
            <w:tcW w:w="4765" w:type="dxa"/>
            <w:tcBorders>
              <w:top w:val="nil"/>
              <w:left w:val="nil"/>
              <w:bottom w:val="nil"/>
              <w:right w:val="nil"/>
            </w:tcBorders>
            <w:shd w:val="clear" w:color="auto" w:fill="auto"/>
            <w:noWrap/>
            <w:vAlign w:val="bottom"/>
            <w:hideMark/>
          </w:tcPr>
          <w:p w14:paraId="0136FA52"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Microbiology</w:t>
            </w:r>
          </w:p>
        </w:tc>
      </w:tr>
      <w:tr w:rsidR="002831AA" w:rsidRPr="002831AA" w14:paraId="06A1C795"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38ABFE6E"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2101</w:t>
            </w:r>
          </w:p>
        </w:tc>
        <w:tc>
          <w:tcPr>
            <w:tcW w:w="4745" w:type="dxa"/>
            <w:tcBorders>
              <w:top w:val="nil"/>
              <w:left w:val="nil"/>
              <w:bottom w:val="nil"/>
              <w:right w:val="nil"/>
            </w:tcBorders>
            <w:shd w:val="clear" w:color="auto" w:fill="auto"/>
            <w:noWrap/>
            <w:vAlign w:val="bottom"/>
            <w:hideMark/>
          </w:tcPr>
          <w:p w14:paraId="394C946C"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Computer Programming and Data Processing</w:t>
            </w:r>
          </w:p>
        </w:tc>
        <w:tc>
          <w:tcPr>
            <w:tcW w:w="1026" w:type="dxa"/>
            <w:tcBorders>
              <w:top w:val="nil"/>
              <w:left w:val="nil"/>
              <w:bottom w:val="nil"/>
              <w:right w:val="nil"/>
            </w:tcBorders>
            <w:shd w:val="clear" w:color="auto" w:fill="auto"/>
            <w:noWrap/>
            <w:vAlign w:val="bottom"/>
            <w:hideMark/>
          </w:tcPr>
          <w:p w14:paraId="49E6B5EC"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3607</w:t>
            </w:r>
          </w:p>
        </w:tc>
        <w:tc>
          <w:tcPr>
            <w:tcW w:w="4765" w:type="dxa"/>
            <w:tcBorders>
              <w:top w:val="nil"/>
              <w:left w:val="nil"/>
              <w:bottom w:val="nil"/>
              <w:right w:val="nil"/>
            </w:tcBorders>
            <w:shd w:val="clear" w:color="auto" w:fill="auto"/>
            <w:noWrap/>
            <w:vAlign w:val="bottom"/>
            <w:hideMark/>
          </w:tcPr>
          <w:p w14:paraId="32DDEB89"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Pharmacology</w:t>
            </w:r>
          </w:p>
        </w:tc>
      </w:tr>
      <w:tr w:rsidR="002831AA" w:rsidRPr="002831AA" w14:paraId="1DBC23BA"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07724652"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2102</w:t>
            </w:r>
          </w:p>
        </w:tc>
        <w:tc>
          <w:tcPr>
            <w:tcW w:w="4745" w:type="dxa"/>
            <w:tcBorders>
              <w:top w:val="nil"/>
              <w:left w:val="nil"/>
              <w:bottom w:val="nil"/>
              <w:right w:val="nil"/>
            </w:tcBorders>
            <w:shd w:val="clear" w:color="auto" w:fill="auto"/>
            <w:noWrap/>
            <w:vAlign w:val="bottom"/>
            <w:hideMark/>
          </w:tcPr>
          <w:p w14:paraId="46006B31"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Computer Science</w:t>
            </w:r>
          </w:p>
        </w:tc>
        <w:tc>
          <w:tcPr>
            <w:tcW w:w="1026" w:type="dxa"/>
            <w:tcBorders>
              <w:top w:val="nil"/>
              <w:left w:val="nil"/>
              <w:bottom w:val="nil"/>
              <w:right w:val="nil"/>
            </w:tcBorders>
            <w:shd w:val="clear" w:color="auto" w:fill="auto"/>
            <w:noWrap/>
            <w:vAlign w:val="bottom"/>
            <w:hideMark/>
          </w:tcPr>
          <w:p w14:paraId="191D0182"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3608</w:t>
            </w:r>
          </w:p>
        </w:tc>
        <w:tc>
          <w:tcPr>
            <w:tcW w:w="4765" w:type="dxa"/>
            <w:tcBorders>
              <w:top w:val="nil"/>
              <w:left w:val="nil"/>
              <w:bottom w:val="nil"/>
              <w:right w:val="nil"/>
            </w:tcBorders>
            <w:shd w:val="clear" w:color="auto" w:fill="auto"/>
            <w:noWrap/>
            <w:vAlign w:val="bottom"/>
            <w:hideMark/>
          </w:tcPr>
          <w:p w14:paraId="08CF8F61"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Physiology</w:t>
            </w:r>
          </w:p>
        </w:tc>
      </w:tr>
      <w:tr w:rsidR="002831AA" w:rsidRPr="002831AA" w14:paraId="3D16B465"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55B365D8"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2105</w:t>
            </w:r>
          </w:p>
        </w:tc>
        <w:tc>
          <w:tcPr>
            <w:tcW w:w="4745" w:type="dxa"/>
            <w:tcBorders>
              <w:top w:val="nil"/>
              <w:left w:val="nil"/>
              <w:bottom w:val="nil"/>
              <w:right w:val="nil"/>
            </w:tcBorders>
            <w:shd w:val="clear" w:color="auto" w:fill="auto"/>
            <w:noWrap/>
            <w:vAlign w:val="bottom"/>
            <w:hideMark/>
          </w:tcPr>
          <w:p w14:paraId="5E56F00D"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Information Sciences</w:t>
            </w:r>
          </w:p>
        </w:tc>
        <w:tc>
          <w:tcPr>
            <w:tcW w:w="1026" w:type="dxa"/>
            <w:tcBorders>
              <w:top w:val="nil"/>
              <w:left w:val="nil"/>
              <w:bottom w:val="nil"/>
              <w:right w:val="nil"/>
            </w:tcBorders>
            <w:shd w:val="clear" w:color="auto" w:fill="auto"/>
            <w:noWrap/>
            <w:vAlign w:val="bottom"/>
            <w:hideMark/>
          </w:tcPr>
          <w:p w14:paraId="484401BB"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3609</w:t>
            </w:r>
          </w:p>
        </w:tc>
        <w:tc>
          <w:tcPr>
            <w:tcW w:w="4765" w:type="dxa"/>
            <w:tcBorders>
              <w:top w:val="nil"/>
              <w:left w:val="nil"/>
              <w:bottom w:val="nil"/>
              <w:right w:val="nil"/>
            </w:tcBorders>
            <w:shd w:val="clear" w:color="auto" w:fill="auto"/>
            <w:noWrap/>
            <w:vAlign w:val="bottom"/>
            <w:hideMark/>
          </w:tcPr>
          <w:p w14:paraId="7403490F"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Zoology</w:t>
            </w:r>
          </w:p>
        </w:tc>
      </w:tr>
      <w:tr w:rsidR="002831AA" w:rsidRPr="002831AA" w14:paraId="62EF9FA6"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2B13488E"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2106</w:t>
            </w:r>
          </w:p>
        </w:tc>
        <w:tc>
          <w:tcPr>
            <w:tcW w:w="4745" w:type="dxa"/>
            <w:tcBorders>
              <w:top w:val="nil"/>
              <w:left w:val="nil"/>
              <w:bottom w:val="nil"/>
              <w:right w:val="nil"/>
            </w:tcBorders>
            <w:shd w:val="clear" w:color="auto" w:fill="auto"/>
            <w:noWrap/>
            <w:vAlign w:val="bottom"/>
            <w:hideMark/>
          </w:tcPr>
          <w:p w14:paraId="1DD33C77"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Computer Information Management</w:t>
            </w:r>
          </w:p>
        </w:tc>
        <w:tc>
          <w:tcPr>
            <w:tcW w:w="1026" w:type="dxa"/>
            <w:tcBorders>
              <w:top w:val="nil"/>
              <w:left w:val="nil"/>
              <w:bottom w:val="nil"/>
              <w:right w:val="nil"/>
            </w:tcBorders>
            <w:shd w:val="clear" w:color="auto" w:fill="auto"/>
            <w:noWrap/>
            <w:vAlign w:val="bottom"/>
            <w:hideMark/>
          </w:tcPr>
          <w:p w14:paraId="4BC362A4"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3611</w:t>
            </w:r>
          </w:p>
        </w:tc>
        <w:tc>
          <w:tcPr>
            <w:tcW w:w="4765" w:type="dxa"/>
            <w:tcBorders>
              <w:top w:val="nil"/>
              <w:left w:val="nil"/>
              <w:bottom w:val="nil"/>
              <w:right w:val="nil"/>
            </w:tcBorders>
            <w:shd w:val="clear" w:color="auto" w:fill="auto"/>
            <w:noWrap/>
            <w:vAlign w:val="bottom"/>
            <w:hideMark/>
          </w:tcPr>
          <w:p w14:paraId="21AC1D60"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Neuroscience</w:t>
            </w:r>
          </w:p>
        </w:tc>
      </w:tr>
      <w:tr w:rsidR="002831AA" w:rsidRPr="002831AA" w14:paraId="38FD9EF4"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1DCC90DA" w14:textId="77777777" w:rsidR="002831AA" w:rsidRPr="002831AA" w:rsidRDefault="002831AA" w:rsidP="002831AA">
            <w:pPr>
              <w:spacing w:after="0" w:line="240" w:lineRule="auto"/>
              <w:rPr>
                <w:rFonts w:ascii="Times New Roman" w:eastAsia="Malgun Gothic" w:hAnsi="Times New Roman" w:cs="Times New Roman"/>
                <w:color w:val="000000"/>
              </w:rPr>
            </w:pPr>
          </w:p>
        </w:tc>
        <w:tc>
          <w:tcPr>
            <w:tcW w:w="4745" w:type="dxa"/>
            <w:tcBorders>
              <w:top w:val="nil"/>
              <w:left w:val="nil"/>
              <w:bottom w:val="nil"/>
              <w:right w:val="nil"/>
            </w:tcBorders>
            <w:shd w:val="clear" w:color="auto" w:fill="auto"/>
            <w:noWrap/>
            <w:vAlign w:val="bottom"/>
            <w:hideMark/>
          </w:tcPr>
          <w:p w14:paraId="4BDDC41A"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and Science</w:t>
            </w:r>
          </w:p>
        </w:tc>
        <w:tc>
          <w:tcPr>
            <w:tcW w:w="1026" w:type="dxa"/>
            <w:tcBorders>
              <w:top w:val="nil"/>
              <w:left w:val="nil"/>
              <w:bottom w:val="nil"/>
              <w:right w:val="nil"/>
            </w:tcBorders>
            <w:shd w:val="clear" w:color="auto" w:fill="auto"/>
            <w:noWrap/>
            <w:vAlign w:val="bottom"/>
            <w:hideMark/>
          </w:tcPr>
          <w:p w14:paraId="15B8E92C" w14:textId="77777777" w:rsidR="002831AA" w:rsidRPr="002831AA" w:rsidRDefault="002831AA" w:rsidP="002831AA">
            <w:pPr>
              <w:spacing w:after="0" w:line="240" w:lineRule="auto"/>
              <w:rPr>
                <w:rFonts w:ascii="Times New Roman" w:eastAsia="Malgun Gothic" w:hAnsi="Times New Roman" w:cs="Times New Roman"/>
                <w:color w:val="000000"/>
              </w:rPr>
            </w:pPr>
          </w:p>
        </w:tc>
        <w:tc>
          <w:tcPr>
            <w:tcW w:w="4765" w:type="dxa"/>
            <w:tcBorders>
              <w:top w:val="nil"/>
              <w:left w:val="nil"/>
              <w:bottom w:val="nil"/>
              <w:right w:val="nil"/>
            </w:tcBorders>
            <w:shd w:val="clear" w:color="auto" w:fill="auto"/>
            <w:noWrap/>
            <w:vAlign w:val="bottom"/>
            <w:hideMark/>
          </w:tcPr>
          <w:p w14:paraId="71D5FAA6" w14:textId="77777777" w:rsidR="002831AA" w:rsidRPr="002831AA" w:rsidRDefault="002831AA" w:rsidP="002831AA">
            <w:pPr>
              <w:spacing w:after="0" w:line="240" w:lineRule="auto"/>
              <w:rPr>
                <w:rFonts w:ascii="Times New Roman" w:eastAsia="Times New Roman" w:hAnsi="Times New Roman" w:cs="Times New Roman"/>
                <w:sz w:val="20"/>
                <w:szCs w:val="20"/>
              </w:rPr>
            </w:pPr>
          </w:p>
        </w:tc>
      </w:tr>
      <w:tr w:rsidR="002831AA" w:rsidRPr="002831AA" w14:paraId="5F39FB4B"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74C7B8CD"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2107</w:t>
            </w:r>
          </w:p>
        </w:tc>
        <w:tc>
          <w:tcPr>
            <w:tcW w:w="4745" w:type="dxa"/>
            <w:tcBorders>
              <w:top w:val="nil"/>
              <w:left w:val="nil"/>
              <w:bottom w:val="nil"/>
              <w:right w:val="nil"/>
            </w:tcBorders>
            <w:shd w:val="clear" w:color="auto" w:fill="auto"/>
            <w:noWrap/>
            <w:vAlign w:val="bottom"/>
            <w:hideMark/>
          </w:tcPr>
          <w:p w14:paraId="2D097939"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Computer Networking</w:t>
            </w:r>
          </w:p>
        </w:tc>
        <w:tc>
          <w:tcPr>
            <w:tcW w:w="1026" w:type="dxa"/>
            <w:tcBorders>
              <w:top w:val="nil"/>
              <w:left w:val="nil"/>
              <w:bottom w:val="nil"/>
              <w:right w:val="nil"/>
            </w:tcBorders>
            <w:shd w:val="clear" w:color="auto" w:fill="auto"/>
            <w:noWrap/>
            <w:vAlign w:val="bottom"/>
            <w:hideMark/>
          </w:tcPr>
          <w:p w14:paraId="5F7C5726"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3699</w:t>
            </w:r>
          </w:p>
        </w:tc>
        <w:tc>
          <w:tcPr>
            <w:tcW w:w="4765" w:type="dxa"/>
            <w:tcBorders>
              <w:top w:val="nil"/>
              <w:left w:val="nil"/>
              <w:bottom w:val="nil"/>
              <w:right w:val="nil"/>
            </w:tcBorders>
            <w:shd w:val="clear" w:color="auto" w:fill="auto"/>
            <w:noWrap/>
            <w:vAlign w:val="bottom"/>
            <w:hideMark/>
          </w:tcPr>
          <w:p w14:paraId="402825AC"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Miscellaneous Biology</w:t>
            </w:r>
          </w:p>
        </w:tc>
      </w:tr>
      <w:tr w:rsidR="002831AA" w:rsidRPr="002831AA" w14:paraId="5ED01C6D"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4E6A54D8" w14:textId="77777777" w:rsidR="002831AA" w:rsidRPr="002831AA" w:rsidRDefault="002831AA" w:rsidP="002831AA">
            <w:pPr>
              <w:spacing w:after="0" w:line="240" w:lineRule="auto"/>
              <w:rPr>
                <w:rFonts w:ascii="Times New Roman" w:eastAsia="Malgun Gothic" w:hAnsi="Times New Roman" w:cs="Times New Roman"/>
                <w:color w:val="000000"/>
              </w:rPr>
            </w:pPr>
          </w:p>
        </w:tc>
        <w:tc>
          <w:tcPr>
            <w:tcW w:w="4745" w:type="dxa"/>
            <w:tcBorders>
              <w:top w:val="nil"/>
              <w:left w:val="nil"/>
              <w:bottom w:val="nil"/>
              <w:right w:val="nil"/>
            </w:tcBorders>
            <w:shd w:val="clear" w:color="auto" w:fill="auto"/>
            <w:noWrap/>
            <w:vAlign w:val="bottom"/>
            <w:hideMark/>
          </w:tcPr>
          <w:p w14:paraId="6045D22F"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Telecommunications</w:t>
            </w:r>
          </w:p>
        </w:tc>
        <w:tc>
          <w:tcPr>
            <w:tcW w:w="1026" w:type="dxa"/>
            <w:tcBorders>
              <w:top w:val="nil"/>
              <w:left w:val="nil"/>
              <w:bottom w:val="nil"/>
              <w:right w:val="nil"/>
            </w:tcBorders>
            <w:shd w:val="clear" w:color="auto" w:fill="auto"/>
            <w:noWrap/>
            <w:vAlign w:val="bottom"/>
            <w:hideMark/>
          </w:tcPr>
          <w:p w14:paraId="719D4E9B" w14:textId="77777777" w:rsidR="002831AA" w:rsidRPr="002831AA" w:rsidRDefault="002831AA" w:rsidP="002831AA">
            <w:pPr>
              <w:spacing w:after="0" w:line="240" w:lineRule="auto"/>
              <w:rPr>
                <w:rFonts w:ascii="Times New Roman" w:eastAsia="Malgun Gothic" w:hAnsi="Times New Roman" w:cs="Times New Roman"/>
                <w:color w:val="000000"/>
              </w:rPr>
            </w:pPr>
          </w:p>
        </w:tc>
        <w:tc>
          <w:tcPr>
            <w:tcW w:w="4765" w:type="dxa"/>
            <w:tcBorders>
              <w:top w:val="nil"/>
              <w:left w:val="nil"/>
              <w:bottom w:val="nil"/>
              <w:right w:val="nil"/>
            </w:tcBorders>
            <w:shd w:val="clear" w:color="auto" w:fill="auto"/>
            <w:noWrap/>
            <w:vAlign w:val="bottom"/>
            <w:hideMark/>
          </w:tcPr>
          <w:p w14:paraId="3ADD81FA" w14:textId="77777777" w:rsidR="002831AA" w:rsidRPr="002831AA" w:rsidRDefault="002831AA" w:rsidP="002831AA">
            <w:pPr>
              <w:spacing w:after="0" w:line="240" w:lineRule="auto"/>
              <w:rPr>
                <w:rFonts w:ascii="Times New Roman" w:eastAsia="Times New Roman" w:hAnsi="Times New Roman" w:cs="Times New Roman"/>
                <w:sz w:val="20"/>
                <w:szCs w:val="20"/>
              </w:rPr>
            </w:pPr>
          </w:p>
        </w:tc>
      </w:tr>
      <w:tr w:rsidR="002831AA" w:rsidRPr="002831AA" w14:paraId="59E2A405"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70DF5BCF"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2401</w:t>
            </w:r>
          </w:p>
        </w:tc>
        <w:tc>
          <w:tcPr>
            <w:tcW w:w="4745" w:type="dxa"/>
            <w:tcBorders>
              <w:top w:val="nil"/>
              <w:left w:val="nil"/>
              <w:bottom w:val="nil"/>
              <w:right w:val="nil"/>
            </w:tcBorders>
            <w:shd w:val="clear" w:color="auto" w:fill="auto"/>
            <w:noWrap/>
            <w:vAlign w:val="bottom"/>
            <w:hideMark/>
          </w:tcPr>
          <w:p w14:paraId="43D208B6"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Aerospace Engineering</w:t>
            </w:r>
          </w:p>
        </w:tc>
        <w:tc>
          <w:tcPr>
            <w:tcW w:w="1026" w:type="dxa"/>
            <w:tcBorders>
              <w:top w:val="nil"/>
              <w:left w:val="nil"/>
              <w:bottom w:val="nil"/>
              <w:right w:val="nil"/>
            </w:tcBorders>
            <w:shd w:val="clear" w:color="auto" w:fill="auto"/>
            <w:noWrap/>
            <w:vAlign w:val="bottom"/>
            <w:hideMark/>
          </w:tcPr>
          <w:p w14:paraId="6BA51956"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3700</w:t>
            </w:r>
          </w:p>
        </w:tc>
        <w:tc>
          <w:tcPr>
            <w:tcW w:w="4765" w:type="dxa"/>
            <w:tcBorders>
              <w:top w:val="nil"/>
              <w:left w:val="nil"/>
              <w:bottom w:val="nil"/>
              <w:right w:val="nil"/>
            </w:tcBorders>
            <w:shd w:val="clear" w:color="auto" w:fill="auto"/>
            <w:noWrap/>
            <w:vAlign w:val="bottom"/>
            <w:hideMark/>
          </w:tcPr>
          <w:p w14:paraId="37C9F5AC"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Mathematics</w:t>
            </w:r>
          </w:p>
        </w:tc>
      </w:tr>
      <w:tr w:rsidR="002831AA" w:rsidRPr="002831AA" w14:paraId="6A6FAB8D"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66BB3A2B"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2402</w:t>
            </w:r>
          </w:p>
        </w:tc>
        <w:tc>
          <w:tcPr>
            <w:tcW w:w="4745" w:type="dxa"/>
            <w:tcBorders>
              <w:top w:val="nil"/>
              <w:left w:val="nil"/>
              <w:bottom w:val="nil"/>
              <w:right w:val="nil"/>
            </w:tcBorders>
            <w:shd w:val="clear" w:color="auto" w:fill="auto"/>
            <w:noWrap/>
            <w:vAlign w:val="bottom"/>
            <w:hideMark/>
          </w:tcPr>
          <w:p w14:paraId="37B3621B"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Biological Engineering</w:t>
            </w:r>
          </w:p>
        </w:tc>
        <w:tc>
          <w:tcPr>
            <w:tcW w:w="1026" w:type="dxa"/>
            <w:tcBorders>
              <w:top w:val="nil"/>
              <w:left w:val="nil"/>
              <w:bottom w:val="nil"/>
              <w:right w:val="nil"/>
            </w:tcBorders>
            <w:shd w:val="clear" w:color="auto" w:fill="auto"/>
            <w:noWrap/>
            <w:vAlign w:val="bottom"/>
            <w:hideMark/>
          </w:tcPr>
          <w:p w14:paraId="77C78185"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3701</w:t>
            </w:r>
          </w:p>
        </w:tc>
        <w:tc>
          <w:tcPr>
            <w:tcW w:w="4765" w:type="dxa"/>
            <w:tcBorders>
              <w:top w:val="nil"/>
              <w:left w:val="nil"/>
              <w:bottom w:val="nil"/>
              <w:right w:val="nil"/>
            </w:tcBorders>
            <w:shd w:val="clear" w:color="auto" w:fill="auto"/>
            <w:noWrap/>
            <w:vAlign w:val="bottom"/>
            <w:hideMark/>
          </w:tcPr>
          <w:p w14:paraId="3BC0B1BE"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Applied Mathematics</w:t>
            </w:r>
          </w:p>
        </w:tc>
      </w:tr>
      <w:tr w:rsidR="002831AA" w:rsidRPr="002831AA" w14:paraId="43A00602"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59151EC8"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2403</w:t>
            </w:r>
          </w:p>
        </w:tc>
        <w:tc>
          <w:tcPr>
            <w:tcW w:w="4745" w:type="dxa"/>
            <w:tcBorders>
              <w:top w:val="nil"/>
              <w:left w:val="nil"/>
              <w:bottom w:val="nil"/>
              <w:right w:val="nil"/>
            </w:tcBorders>
            <w:shd w:val="clear" w:color="auto" w:fill="auto"/>
            <w:noWrap/>
            <w:vAlign w:val="bottom"/>
            <w:hideMark/>
          </w:tcPr>
          <w:p w14:paraId="1A4AC157"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Architectural Engineering</w:t>
            </w:r>
          </w:p>
        </w:tc>
        <w:tc>
          <w:tcPr>
            <w:tcW w:w="1026" w:type="dxa"/>
            <w:tcBorders>
              <w:top w:val="nil"/>
              <w:left w:val="nil"/>
              <w:bottom w:val="nil"/>
              <w:right w:val="nil"/>
            </w:tcBorders>
            <w:shd w:val="clear" w:color="auto" w:fill="auto"/>
            <w:noWrap/>
            <w:vAlign w:val="bottom"/>
            <w:hideMark/>
          </w:tcPr>
          <w:p w14:paraId="40E7E28C"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3702</w:t>
            </w:r>
          </w:p>
        </w:tc>
        <w:tc>
          <w:tcPr>
            <w:tcW w:w="4765" w:type="dxa"/>
            <w:tcBorders>
              <w:top w:val="nil"/>
              <w:left w:val="nil"/>
              <w:bottom w:val="nil"/>
              <w:right w:val="nil"/>
            </w:tcBorders>
            <w:shd w:val="clear" w:color="auto" w:fill="auto"/>
            <w:noWrap/>
            <w:vAlign w:val="bottom"/>
            <w:hideMark/>
          </w:tcPr>
          <w:p w14:paraId="1AEAFAB1"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Statistics and Decision Science</w:t>
            </w:r>
          </w:p>
        </w:tc>
      </w:tr>
      <w:tr w:rsidR="002831AA" w:rsidRPr="002831AA" w14:paraId="42ACE070"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6D134CEC"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2404</w:t>
            </w:r>
          </w:p>
        </w:tc>
        <w:tc>
          <w:tcPr>
            <w:tcW w:w="4745" w:type="dxa"/>
            <w:tcBorders>
              <w:top w:val="nil"/>
              <w:left w:val="nil"/>
              <w:bottom w:val="nil"/>
              <w:right w:val="nil"/>
            </w:tcBorders>
            <w:shd w:val="clear" w:color="auto" w:fill="auto"/>
            <w:noWrap/>
            <w:vAlign w:val="bottom"/>
            <w:hideMark/>
          </w:tcPr>
          <w:p w14:paraId="187ADD8B"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Biomedical Engineering</w:t>
            </w:r>
          </w:p>
        </w:tc>
        <w:tc>
          <w:tcPr>
            <w:tcW w:w="1026" w:type="dxa"/>
            <w:tcBorders>
              <w:top w:val="nil"/>
              <w:left w:val="nil"/>
              <w:bottom w:val="nil"/>
              <w:right w:val="nil"/>
            </w:tcBorders>
            <w:shd w:val="clear" w:color="auto" w:fill="auto"/>
            <w:noWrap/>
            <w:vAlign w:val="bottom"/>
            <w:hideMark/>
          </w:tcPr>
          <w:p w14:paraId="3C91CEE0"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3801</w:t>
            </w:r>
          </w:p>
        </w:tc>
        <w:tc>
          <w:tcPr>
            <w:tcW w:w="4765" w:type="dxa"/>
            <w:tcBorders>
              <w:top w:val="nil"/>
              <w:left w:val="nil"/>
              <w:bottom w:val="nil"/>
              <w:right w:val="nil"/>
            </w:tcBorders>
            <w:shd w:val="clear" w:color="auto" w:fill="auto"/>
            <w:noWrap/>
            <w:vAlign w:val="bottom"/>
            <w:hideMark/>
          </w:tcPr>
          <w:p w14:paraId="40BA35C0"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Military Technologies</w:t>
            </w:r>
          </w:p>
        </w:tc>
      </w:tr>
      <w:tr w:rsidR="002831AA" w:rsidRPr="002831AA" w14:paraId="677588BE"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7D2B12C8"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2405</w:t>
            </w:r>
          </w:p>
        </w:tc>
        <w:tc>
          <w:tcPr>
            <w:tcW w:w="4745" w:type="dxa"/>
            <w:tcBorders>
              <w:top w:val="nil"/>
              <w:left w:val="nil"/>
              <w:bottom w:val="nil"/>
              <w:right w:val="nil"/>
            </w:tcBorders>
            <w:shd w:val="clear" w:color="auto" w:fill="auto"/>
            <w:noWrap/>
            <w:vAlign w:val="bottom"/>
            <w:hideMark/>
          </w:tcPr>
          <w:p w14:paraId="787C8AA6"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Chemical Engineering</w:t>
            </w:r>
          </w:p>
        </w:tc>
        <w:tc>
          <w:tcPr>
            <w:tcW w:w="1026" w:type="dxa"/>
            <w:tcBorders>
              <w:top w:val="nil"/>
              <w:left w:val="nil"/>
              <w:bottom w:val="nil"/>
              <w:right w:val="nil"/>
            </w:tcBorders>
            <w:shd w:val="clear" w:color="auto" w:fill="auto"/>
            <w:noWrap/>
            <w:vAlign w:val="bottom"/>
            <w:hideMark/>
          </w:tcPr>
          <w:p w14:paraId="5CDFF638"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4002</w:t>
            </w:r>
          </w:p>
        </w:tc>
        <w:tc>
          <w:tcPr>
            <w:tcW w:w="4765" w:type="dxa"/>
            <w:tcBorders>
              <w:top w:val="nil"/>
              <w:left w:val="nil"/>
              <w:bottom w:val="nil"/>
              <w:right w:val="nil"/>
            </w:tcBorders>
            <w:shd w:val="clear" w:color="auto" w:fill="auto"/>
            <w:noWrap/>
            <w:vAlign w:val="bottom"/>
            <w:hideMark/>
          </w:tcPr>
          <w:p w14:paraId="16F59C30"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Nutrition Sciences</w:t>
            </w:r>
          </w:p>
        </w:tc>
      </w:tr>
      <w:tr w:rsidR="002831AA" w:rsidRPr="002831AA" w14:paraId="112078D7"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230BE0C7"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2406</w:t>
            </w:r>
          </w:p>
        </w:tc>
        <w:tc>
          <w:tcPr>
            <w:tcW w:w="4745" w:type="dxa"/>
            <w:tcBorders>
              <w:top w:val="nil"/>
              <w:left w:val="nil"/>
              <w:bottom w:val="nil"/>
              <w:right w:val="nil"/>
            </w:tcBorders>
            <w:shd w:val="clear" w:color="auto" w:fill="auto"/>
            <w:noWrap/>
            <w:vAlign w:val="bottom"/>
            <w:hideMark/>
          </w:tcPr>
          <w:p w14:paraId="19BB0085"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Civil Engineering</w:t>
            </w:r>
          </w:p>
        </w:tc>
        <w:tc>
          <w:tcPr>
            <w:tcW w:w="1026" w:type="dxa"/>
            <w:tcBorders>
              <w:top w:val="nil"/>
              <w:left w:val="nil"/>
              <w:bottom w:val="nil"/>
              <w:right w:val="nil"/>
            </w:tcBorders>
            <w:shd w:val="clear" w:color="auto" w:fill="auto"/>
            <w:noWrap/>
            <w:vAlign w:val="bottom"/>
            <w:hideMark/>
          </w:tcPr>
          <w:p w14:paraId="360FBA12"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4003</w:t>
            </w:r>
          </w:p>
        </w:tc>
        <w:tc>
          <w:tcPr>
            <w:tcW w:w="4765" w:type="dxa"/>
            <w:tcBorders>
              <w:top w:val="nil"/>
              <w:left w:val="nil"/>
              <w:bottom w:val="nil"/>
              <w:right w:val="nil"/>
            </w:tcBorders>
            <w:shd w:val="clear" w:color="auto" w:fill="auto"/>
            <w:noWrap/>
            <w:vAlign w:val="bottom"/>
            <w:hideMark/>
          </w:tcPr>
          <w:p w14:paraId="14621085"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Neuroscience</w:t>
            </w:r>
          </w:p>
        </w:tc>
      </w:tr>
      <w:tr w:rsidR="002831AA" w:rsidRPr="002831AA" w14:paraId="047CF326"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25C87E43"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2407</w:t>
            </w:r>
          </w:p>
        </w:tc>
        <w:tc>
          <w:tcPr>
            <w:tcW w:w="4745" w:type="dxa"/>
            <w:tcBorders>
              <w:top w:val="nil"/>
              <w:left w:val="nil"/>
              <w:bottom w:val="nil"/>
              <w:right w:val="nil"/>
            </w:tcBorders>
            <w:shd w:val="clear" w:color="auto" w:fill="auto"/>
            <w:noWrap/>
            <w:vAlign w:val="bottom"/>
            <w:hideMark/>
          </w:tcPr>
          <w:p w14:paraId="17A0A5FC"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Computer Engineering</w:t>
            </w:r>
          </w:p>
        </w:tc>
        <w:tc>
          <w:tcPr>
            <w:tcW w:w="1026" w:type="dxa"/>
            <w:tcBorders>
              <w:top w:val="nil"/>
              <w:left w:val="nil"/>
              <w:bottom w:val="nil"/>
              <w:right w:val="nil"/>
            </w:tcBorders>
            <w:shd w:val="clear" w:color="auto" w:fill="auto"/>
            <w:noWrap/>
            <w:vAlign w:val="bottom"/>
            <w:hideMark/>
          </w:tcPr>
          <w:p w14:paraId="090C7FA1"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4005</w:t>
            </w:r>
          </w:p>
        </w:tc>
        <w:tc>
          <w:tcPr>
            <w:tcW w:w="4765" w:type="dxa"/>
            <w:tcBorders>
              <w:top w:val="nil"/>
              <w:left w:val="nil"/>
              <w:bottom w:val="nil"/>
              <w:right w:val="nil"/>
            </w:tcBorders>
            <w:shd w:val="clear" w:color="auto" w:fill="auto"/>
            <w:noWrap/>
            <w:vAlign w:val="bottom"/>
            <w:hideMark/>
          </w:tcPr>
          <w:p w14:paraId="3F88F71D"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Mathematics and Computer Science</w:t>
            </w:r>
          </w:p>
        </w:tc>
      </w:tr>
      <w:tr w:rsidR="002831AA" w:rsidRPr="002831AA" w14:paraId="415856AD"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4888A397"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2408</w:t>
            </w:r>
          </w:p>
        </w:tc>
        <w:tc>
          <w:tcPr>
            <w:tcW w:w="4745" w:type="dxa"/>
            <w:tcBorders>
              <w:top w:val="nil"/>
              <w:left w:val="nil"/>
              <w:bottom w:val="nil"/>
              <w:right w:val="nil"/>
            </w:tcBorders>
            <w:shd w:val="clear" w:color="auto" w:fill="auto"/>
            <w:noWrap/>
            <w:vAlign w:val="bottom"/>
            <w:hideMark/>
          </w:tcPr>
          <w:p w14:paraId="3CF8A6D5"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Electrical Engineering</w:t>
            </w:r>
          </w:p>
        </w:tc>
        <w:tc>
          <w:tcPr>
            <w:tcW w:w="1026" w:type="dxa"/>
            <w:tcBorders>
              <w:top w:val="nil"/>
              <w:left w:val="nil"/>
              <w:bottom w:val="nil"/>
              <w:right w:val="nil"/>
            </w:tcBorders>
            <w:shd w:val="clear" w:color="auto" w:fill="auto"/>
            <w:noWrap/>
            <w:vAlign w:val="bottom"/>
            <w:hideMark/>
          </w:tcPr>
          <w:p w14:paraId="2A24FE17"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4006</w:t>
            </w:r>
          </w:p>
        </w:tc>
        <w:tc>
          <w:tcPr>
            <w:tcW w:w="4765" w:type="dxa"/>
            <w:tcBorders>
              <w:top w:val="nil"/>
              <w:left w:val="nil"/>
              <w:bottom w:val="nil"/>
              <w:right w:val="nil"/>
            </w:tcBorders>
            <w:shd w:val="clear" w:color="auto" w:fill="auto"/>
            <w:noWrap/>
            <w:vAlign w:val="bottom"/>
            <w:hideMark/>
          </w:tcPr>
          <w:p w14:paraId="6834817C"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Cognitive Science and Biopsychology</w:t>
            </w:r>
          </w:p>
        </w:tc>
      </w:tr>
      <w:tr w:rsidR="002831AA" w:rsidRPr="002831AA" w14:paraId="12EAF694"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75020283"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2409</w:t>
            </w:r>
          </w:p>
        </w:tc>
        <w:tc>
          <w:tcPr>
            <w:tcW w:w="4745" w:type="dxa"/>
            <w:tcBorders>
              <w:top w:val="nil"/>
              <w:left w:val="nil"/>
              <w:bottom w:val="nil"/>
              <w:right w:val="nil"/>
            </w:tcBorders>
            <w:shd w:val="clear" w:color="auto" w:fill="auto"/>
            <w:noWrap/>
            <w:vAlign w:val="bottom"/>
            <w:hideMark/>
          </w:tcPr>
          <w:p w14:paraId="6927495C"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Engineering Mechanics, Physics, and Science</w:t>
            </w:r>
          </w:p>
        </w:tc>
        <w:tc>
          <w:tcPr>
            <w:tcW w:w="1026" w:type="dxa"/>
            <w:tcBorders>
              <w:top w:val="nil"/>
              <w:left w:val="nil"/>
              <w:bottom w:val="nil"/>
              <w:right w:val="nil"/>
            </w:tcBorders>
            <w:shd w:val="clear" w:color="auto" w:fill="auto"/>
            <w:noWrap/>
            <w:vAlign w:val="bottom"/>
            <w:hideMark/>
          </w:tcPr>
          <w:p w14:paraId="23362C4F"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4008</w:t>
            </w:r>
          </w:p>
        </w:tc>
        <w:tc>
          <w:tcPr>
            <w:tcW w:w="4765" w:type="dxa"/>
            <w:tcBorders>
              <w:top w:val="nil"/>
              <w:left w:val="nil"/>
              <w:bottom w:val="nil"/>
              <w:right w:val="nil"/>
            </w:tcBorders>
            <w:shd w:val="clear" w:color="auto" w:fill="auto"/>
            <w:noWrap/>
            <w:vAlign w:val="bottom"/>
            <w:hideMark/>
          </w:tcPr>
          <w:p w14:paraId="704E9D07"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Multi-disciplinary or General Science</w:t>
            </w:r>
          </w:p>
        </w:tc>
      </w:tr>
      <w:tr w:rsidR="002831AA" w:rsidRPr="002831AA" w14:paraId="2C3D8496"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5B0247EF"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2410</w:t>
            </w:r>
          </w:p>
        </w:tc>
        <w:tc>
          <w:tcPr>
            <w:tcW w:w="4745" w:type="dxa"/>
            <w:tcBorders>
              <w:top w:val="nil"/>
              <w:left w:val="nil"/>
              <w:bottom w:val="nil"/>
              <w:right w:val="nil"/>
            </w:tcBorders>
            <w:shd w:val="clear" w:color="auto" w:fill="auto"/>
            <w:noWrap/>
            <w:vAlign w:val="bottom"/>
            <w:hideMark/>
          </w:tcPr>
          <w:p w14:paraId="018E7033"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Environmental Engineering</w:t>
            </w:r>
          </w:p>
        </w:tc>
        <w:tc>
          <w:tcPr>
            <w:tcW w:w="1026" w:type="dxa"/>
            <w:tcBorders>
              <w:top w:val="nil"/>
              <w:left w:val="nil"/>
              <w:bottom w:val="nil"/>
              <w:right w:val="nil"/>
            </w:tcBorders>
            <w:shd w:val="clear" w:color="auto" w:fill="auto"/>
            <w:noWrap/>
            <w:vAlign w:val="bottom"/>
            <w:hideMark/>
          </w:tcPr>
          <w:p w14:paraId="5072F5DF"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5001</w:t>
            </w:r>
          </w:p>
        </w:tc>
        <w:tc>
          <w:tcPr>
            <w:tcW w:w="4765" w:type="dxa"/>
            <w:tcBorders>
              <w:top w:val="nil"/>
              <w:left w:val="nil"/>
              <w:bottom w:val="nil"/>
              <w:right w:val="nil"/>
            </w:tcBorders>
            <w:shd w:val="clear" w:color="auto" w:fill="auto"/>
            <w:noWrap/>
            <w:vAlign w:val="bottom"/>
            <w:hideMark/>
          </w:tcPr>
          <w:p w14:paraId="654F3F55"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Astronomy and Astrophysics</w:t>
            </w:r>
          </w:p>
        </w:tc>
      </w:tr>
      <w:tr w:rsidR="002831AA" w:rsidRPr="002831AA" w14:paraId="6CA4A9C8"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4F1426C3"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2411</w:t>
            </w:r>
          </w:p>
        </w:tc>
        <w:tc>
          <w:tcPr>
            <w:tcW w:w="4745" w:type="dxa"/>
            <w:tcBorders>
              <w:top w:val="nil"/>
              <w:left w:val="nil"/>
              <w:bottom w:val="nil"/>
              <w:right w:val="nil"/>
            </w:tcBorders>
            <w:shd w:val="clear" w:color="auto" w:fill="auto"/>
            <w:noWrap/>
            <w:vAlign w:val="bottom"/>
            <w:hideMark/>
          </w:tcPr>
          <w:p w14:paraId="531FF07D"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Geological and Geophysical Engineering</w:t>
            </w:r>
          </w:p>
        </w:tc>
        <w:tc>
          <w:tcPr>
            <w:tcW w:w="1026" w:type="dxa"/>
            <w:tcBorders>
              <w:top w:val="nil"/>
              <w:left w:val="nil"/>
              <w:bottom w:val="nil"/>
              <w:right w:val="nil"/>
            </w:tcBorders>
            <w:shd w:val="clear" w:color="auto" w:fill="auto"/>
            <w:noWrap/>
            <w:vAlign w:val="bottom"/>
            <w:hideMark/>
          </w:tcPr>
          <w:p w14:paraId="0B59C999"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5002</w:t>
            </w:r>
          </w:p>
        </w:tc>
        <w:tc>
          <w:tcPr>
            <w:tcW w:w="4765" w:type="dxa"/>
            <w:tcBorders>
              <w:top w:val="nil"/>
              <w:left w:val="nil"/>
              <w:bottom w:val="nil"/>
              <w:right w:val="nil"/>
            </w:tcBorders>
            <w:shd w:val="clear" w:color="auto" w:fill="auto"/>
            <w:noWrap/>
            <w:vAlign w:val="bottom"/>
            <w:hideMark/>
          </w:tcPr>
          <w:p w14:paraId="0E97B26D"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Atmospheric Sciences and Meteorology</w:t>
            </w:r>
          </w:p>
        </w:tc>
      </w:tr>
      <w:tr w:rsidR="002831AA" w:rsidRPr="002831AA" w14:paraId="6451E999"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0412419D"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2412</w:t>
            </w:r>
          </w:p>
        </w:tc>
        <w:tc>
          <w:tcPr>
            <w:tcW w:w="4745" w:type="dxa"/>
            <w:tcBorders>
              <w:top w:val="nil"/>
              <w:left w:val="nil"/>
              <w:bottom w:val="nil"/>
              <w:right w:val="nil"/>
            </w:tcBorders>
            <w:shd w:val="clear" w:color="auto" w:fill="auto"/>
            <w:noWrap/>
            <w:vAlign w:val="bottom"/>
            <w:hideMark/>
          </w:tcPr>
          <w:p w14:paraId="4B6BE380"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Industrial and Manufacturing Engineering</w:t>
            </w:r>
          </w:p>
        </w:tc>
        <w:tc>
          <w:tcPr>
            <w:tcW w:w="1026" w:type="dxa"/>
            <w:tcBorders>
              <w:top w:val="nil"/>
              <w:left w:val="nil"/>
              <w:bottom w:val="nil"/>
              <w:right w:val="nil"/>
            </w:tcBorders>
            <w:shd w:val="clear" w:color="auto" w:fill="auto"/>
            <w:noWrap/>
            <w:vAlign w:val="bottom"/>
            <w:hideMark/>
          </w:tcPr>
          <w:p w14:paraId="05037993"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5003</w:t>
            </w:r>
          </w:p>
        </w:tc>
        <w:tc>
          <w:tcPr>
            <w:tcW w:w="4765" w:type="dxa"/>
            <w:tcBorders>
              <w:top w:val="nil"/>
              <w:left w:val="nil"/>
              <w:bottom w:val="nil"/>
              <w:right w:val="nil"/>
            </w:tcBorders>
            <w:shd w:val="clear" w:color="auto" w:fill="auto"/>
            <w:noWrap/>
            <w:vAlign w:val="bottom"/>
            <w:hideMark/>
          </w:tcPr>
          <w:p w14:paraId="715BA83C"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Chemistry</w:t>
            </w:r>
          </w:p>
        </w:tc>
      </w:tr>
      <w:tr w:rsidR="002831AA" w:rsidRPr="002831AA" w14:paraId="5E4E7576"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357B90B0"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2413</w:t>
            </w:r>
          </w:p>
        </w:tc>
        <w:tc>
          <w:tcPr>
            <w:tcW w:w="4745" w:type="dxa"/>
            <w:tcBorders>
              <w:top w:val="nil"/>
              <w:left w:val="nil"/>
              <w:bottom w:val="nil"/>
              <w:right w:val="nil"/>
            </w:tcBorders>
            <w:shd w:val="clear" w:color="auto" w:fill="auto"/>
            <w:noWrap/>
            <w:vAlign w:val="bottom"/>
            <w:hideMark/>
          </w:tcPr>
          <w:p w14:paraId="606A7E50"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Materials Engineering and Materials Science</w:t>
            </w:r>
          </w:p>
        </w:tc>
        <w:tc>
          <w:tcPr>
            <w:tcW w:w="1026" w:type="dxa"/>
            <w:tcBorders>
              <w:top w:val="nil"/>
              <w:left w:val="nil"/>
              <w:bottom w:val="nil"/>
              <w:right w:val="nil"/>
            </w:tcBorders>
            <w:shd w:val="clear" w:color="auto" w:fill="auto"/>
            <w:noWrap/>
            <w:vAlign w:val="bottom"/>
            <w:hideMark/>
          </w:tcPr>
          <w:p w14:paraId="707C9CC0"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5004</w:t>
            </w:r>
          </w:p>
        </w:tc>
        <w:tc>
          <w:tcPr>
            <w:tcW w:w="4765" w:type="dxa"/>
            <w:tcBorders>
              <w:top w:val="nil"/>
              <w:left w:val="nil"/>
              <w:bottom w:val="nil"/>
              <w:right w:val="nil"/>
            </w:tcBorders>
            <w:shd w:val="clear" w:color="auto" w:fill="auto"/>
            <w:noWrap/>
            <w:vAlign w:val="bottom"/>
            <w:hideMark/>
          </w:tcPr>
          <w:p w14:paraId="77965BD8"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Geology and Earth Science</w:t>
            </w:r>
          </w:p>
        </w:tc>
      </w:tr>
      <w:tr w:rsidR="002831AA" w:rsidRPr="002831AA" w14:paraId="6F084B2C"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02FD23C9"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2414</w:t>
            </w:r>
          </w:p>
        </w:tc>
        <w:tc>
          <w:tcPr>
            <w:tcW w:w="4745" w:type="dxa"/>
            <w:tcBorders>
              <w:top w:val="nil"/>
              <w:left w:val="nil"/>
              <w:bottom w:val="nil"/>
              <w:right w:val="nil"/>
            </w:tcBorders>
            <w:shd w:val="clear" w:color="auto" w:fill="auto"/>
            <w:noWrap/>
            <w:vAlign w:val="bottom"/>
            <w:hideMark/>
          </w:tcPr>
          <w:p w14:paraId="4452896C"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Mechanical Engineering</w:t>
            </w:r>
          </w:p>
        </w:tc>
        <w:tc>
          <w:tcPr>
            <w:tcW w:w="1026" w:type="dxa"/>
            <w:tcBorders>
              <w:top w:val="nil"/>
              <w:left w:val="nil"/>
              <w:bottom w:val="nil"/>
              <w:right w:val="nil"/>
            </w:tcBorders>
            <w:shd w:val="clear" w:color="auto" w:fill="auto"/>
            <w:noWrap/>
            <w:vAlign w:val="bottom"/>
            <w:hideMark/>
          </w:tcPr>
          <w:p w14:paraId="2D6EBEF1"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5005</w:t>
            </w:r>
          </w:p>
        </w:tc>
        <w:tc>
          <w:tcPr>
            <w:tcW w:w="4765" w:type="dxa"/>
            <w:tcBorders>
              <w:top w:val="nil"/>
              <w:left w:val="nil"/>
              <w:bottom w:val="nil"/>
              <w:right w:val="nil"/>
            </w:tcBorders>
            <w:shd w:val="clear" w:color="auto" w:fill="auto"/>
            <w:noWrap/>
            <w:vAlign w:val="bottom"/>
            <w:hideMark/>
          </w:tcPr>
          <w:p w14:paraId="0C9FF1B4"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Geosciences</w:t>
            </w:r>
          </w:p>
        </w:tc>
      </w:tr>
      <w:tr w:rsidR="002831AA" w:rsidRPr="002831AA" w14:paraId="3CEF3F1F"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2C38CD73"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2415</w:t>
            </w:r>
          </w:p>
        </w:tc>
        <w:tc>
          <w:tcPr>
            <w:tcW w:w="4745" w:type="dxa"/>
            <w:tcBorders>
              <w:top w:val="nil"/>
              <w:left w:val="nil"/>
              <w:bottom w:val="nil"/>
              <w:right w:val="nil"/>
            </w:tcBorders>
            <w:shd w:val="clear" w:color="auto" w:fill="auto"/>
            <w:noWrap/>
            <w:vAlign w:val="bottom"/>
            <w:hideMark/>
          </w:tcPr>
          <w:p w14:paraId="1A2E6F00"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Metallurgical Engineering</w:t>
            </w:r>
          </w:p>
        </w:tc>
        <w:tc>
          <w:tcPr>
            <w:tcW w:w="1026" w:type="dxa"/>
            <w:tcBorders>
              <w:top w:val="nil"/>
              <w:left w:val="nil"/>
              <w:bottom w:val="nil"/>
              <w:right w:val="nil"/>
            </w:tcBorders>
            <w:shd w:val="clear" w:color="auto" w:fill="auto"/>
            <w:noWrap/>
            <w:vAlign w:val="bottom"/>
            <w:hideMark/>
          </w:tcPr>
          <w:p w14:paraId="02650BA6"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5006</w:t>
            </w:r>
          </w:p>
        </w:tc>
        <w:tc>
          <w:tcPr>
            <w:tcW w:w="4765" w:type="dxa"/>
            <w:tcBorders>
              <w:top w:val="nil"/>
              <w:left w:val="nil"/>
              <w:bottom w:val="nil"/>
              <w:right w:val="nil"/>
            </w:tcBorders>
            <w:shd w:val="clear" w:color="auto" w:fill="auto"/>
            <w:noWrap/>
            <w:vAlign w:val="bottom"/>
            <w:hideMark/>
          </w:tcPr>
          <w:p w14:paraId="797C9F11"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Oceanography</w:t>
            </w:r>
          </w:p>
        </w:tc>
      </w:tr>
      <w:tr w:rsidR="002831AA" w:rsidRPr="002831AA" w14:paraId="34F614C2"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4155610D"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2416</w:t>
            </w:r>
          </w:p>
        </w:tc>
        <w:tc>
          <w:tcPr>
            <w:tcW w:w="4745" w:type="dxa"/>
            <w:tcBorders>
              <w:top w:val="nil"/>
              <w:left w:val="nil"/>
              <w:bottom w:val="nil"/>
              <w:right w:val="nil"/>
            </w:tcBorders>
            <w:shd w:val="clear" w:color="auto" w:fill="auto"/>
            <w:noWrap/>
            <w:vAlign w:val="bottom"/>
            <w:hideMark/>
          </w:tcPr>
          <w:p w14:paraId="037912EF"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Mining and Mineral Engineering</w:t>
            </w:r>
          </w:p>
        </w:tc>
        <w:tc>
          <w:tcPr>
            <w:tcW w:w="1026" w:type="dxa"/>
            <w:tcBorders>
              <w:top w:val="nil"/>
              <w:left w:val="nil"/>
              <w:bottom w:val="nil"/>
              <w:right w:val="nil"/>
            </w:tcBorders>
            <w:shd w:val="clear" w:color="auto" w:fill="auto"/>
            <w:noWrap/>
            <w:vAlign w:val="bottom"/>
            <w:hideMark/>
          </w:tcPr>
          <w:p w14:paraId="56D7FAD1"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5007</w:t>
            </w:r>
          </w:p>
        </w:tc>
        <w:tc>
          <w:tcPr>
            <w:tcW w:w="4765" w:type="dxa"/>
            <w:tcBorders>
              <w:top w:val="nil"/>
              <w:left w:val="nil"/>
              <w:bottom w:val="nil"/>
              <w:right w:val="nil"/>
            </w:tcBorders>
            <w:shd w:val="clear" w:color="auto" w:fill="auto"/>
            <w:noWrap/>
            <w:vAlign w:val="bottom"/>
            <w:hideMark/>
          </w:tcPr>
          <w:p w14:paraId="36BE1345"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Physics</w:t>
            </w:r>
          </w:p>
        </w:tc>
      </w:tr>
      <w:tr w:rsidR="002831AA" w:rsidRPr="002831AA" w14:paraId="65A77CB7"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5F873662"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2417</w:t>
            </w:r>
          </w:p>
        </w:tc>
        <w:tc>
          <w:tcPr>
            <w:tcW w:w="4745" w:type="dxa"/>
            <w:tcBorders>
              <w:top w:val="nil"/>
              <w:left w:val="nil"/>
              <w:bottom w:val="nil"/>
              <w:right w:val="nil"/>
            </w:tcBorders>
            <w:shd w:val="clear" w:color="auto" w:fill="auto"/>
            <w:noWrap/>
            <w:vAlign w:val="bottom"/>
            <w:hideMark/>
          </w:tcPr>
          <w:p w14:paraId="613E3A9F"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Naval Architecture and Marine Engineering</w:t>
            </w:r>
          </w:p>
        </w:tc>
        <w:tc>
          <w:tcPr>
            <w:tcW w:w="1026" w:type="dxa"/>
            <w:tcBorders>
              <w:top w:val="nil"/>
              <w:left w:val="nil"/>
              <w:bottom w:val="nil"/>
              <w:right w:val="nil"/>
            </w:tcBorders>
            <w:shd w:val="clear" w:color="auto" w:fill="auto"/>
            <w:noWrap/>
            <w:vAlign w:val="bottom"/>
            <w:hideMark/>
          </w:tcPr>
          <w:p w14:paraId="2B5BCA9E"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5008</w:t>
            </w:r>
          </w:p>
        </w:tc>
        <w:tc>
          <w:tcPr>
            <w:tcW w:w="4765" w:type="dxa"/>
            <w:tcBorders>
              <w:top w:val="nil"/>
              <w:left w:val="nil"/>
              <w:bottom w:val="nil"/>
              <w:right w:val="nil"/>
            </w:tcBorders>
            <w:shd w:val="clear" w:color="auto" w:fill="auto"/>
            <w:noWrap/>
            <w:vAlign w:val="bottom"/>
            <w:hideMark/>
          </w:tcPr>
          <w:p w14:paraId="7B78D59A"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Materials Science</w:t>
            </w:r>
          </w:p>
        </w:tc>
      </w:tr>
      <w:tr w:rsidR="002831AA" w:rsidRPr="002831AA" w14:paraId="499A969B"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6568576A"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2418</w:t>
            </w:r>
          </w:p>
        </w:tc>
        <w:tc>
          <w:tcPr>
            <w:tcW w:w="4745" w:type="dxa"/>
            <w:tcBorders>
              <w:top w:val="nil"/>
              <w:left w:val="nil"/>
              <w:bottom w:val="nil"/>
              <w:right w:val="nil"/>
            </w:tcBorders>
            <w:shd w:val="clear" w:color="auto" w:fill="auto"/>
            <w:noWrap/>
            <w:vAlign w:val="bottom"/>
            <w:hideMark/>
          </w:tcPr>
          <w:p w14:paraId="6EEE5CAA"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Nuclear Engineering</w:t>
            </w:r>
          </w:p>
        </w:tc>
        <w:tc>
          <w:tcPr>
            <w:tcW w:w="1026" w:type="dxa"/>
            <w:tcBorders>
              <w:top w:val="nil"/>
              <w:left w:val="nil"/>
              <w:bottom w:val="nil"/>
              <w:right w:val="nil"/>
            </w:tcBorders>
            <w:shd w:val="clear" w:color="auto" w:fill="auto"/>
            <w:noWrap/>
            <w:vAlign w:val="bottom"/>
            <w:hideMark/>
          </w:tcPr>
          <w:p w14:paraId="4965D9D2"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5098</w:t>
            </w:r>
          </w:p>
        </w:tc>
        <w:tc>
          <w:tcPr>
            <w:tcW w:w="4765" w:type="dxa"/>
            <w:tcBorders>
              <w:top w:val="nil"/>
              <w:left w:val="nil"/>
              <w:bottom w:val="nil"/>
              <w:right w:val="nil"/>
            </w:tcBorders>
            <w:shd w:val="clear" w:color="auto" w:fill="auto"/>
            <w:noWrap/>
            <w:vAlign w:val="bottom"/>
            <w:hideMark/>
          </w:tcPr>
          <w:p w14:paraId="63623510"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Multi-disciplinary or General Science</w:t>
            </w:r>
          </w:p>
        </w:tc>
      </w:tr>
      <w:tr w:rsidR="002831AA" w:rsidRPr="002831AA" w14:paraId="2D6C4733"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4A909272"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2419</w:t>
            </w:r>
          </w:p>
        </w:tc>
        <w:tc>
          <w:tcPr>
            <w:tcW w:w="4745" w:type="dxa"/>
            <w:tcBorders>
              <w:top w:val="nil"/>
              <w:left w:val="nil"/>
              <w:bottom w:val="nil"/>
              <w:right w:val="nil"/>
            </w:tcBorders>
            <w:shd w:val="clear" w:color="auto" w:fill="auto"/>
            <w:noWrap/>
            <w:vAlign w:val="bottom"/>
            <w:hideMark/>
          </w:tcPr>
          <w:p w14:paraId="274F0CF6"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Petroleum Engineering</w:t>
            </w:r>
          </w:p>
        </w:tc>
        <w:tc>
          <w:tcPr>
            <w:tcW w:w="1026" w:type="dxa"/>
            <w:tcBorders>
              <w:top w:val="nil"/>
              <w:left w:val="nil"/>
              <w:bottom w:val="nil"/>
              <w:right w:val="nil"/>
            </w:tcBorders>
            <w:shd w:val="clear" w:color="auto" w:fill="auto"/>
            <w:noWrap/>
            <w:vAlign w:val="bottom"/>
            <w:hideMark/>
          </w:tcPr>
          <w:p w14:paraId="1EB10246"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5102</w:t>
            </w:r>
          </w:p>
        </w:tc>
        <w:tc>
          <w:tcPr>
            <w:tcW w:w="4765" w:type="dxa"/>
            <w:tcBorders>
              <w:top w:val="nil"/>
              <w:left w:val="nil"/>
              <w:bottom w:val="nil"/>
              <w:right w:val="nil"/>
            </w:tcBorders>
            <w:shd w:val="clear" w:color="auto" w:fill="auto"/>
            <w:noWrap/>
            <w:vAlign w:val="bottom"/>
            <w:hideMark/>
          </w:tcPr>
          <w:p w14:paraId="07B10728"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Nuclear, Industrial Radiology and Biology</w:t>
            </w:r>
          </w:p>
        </w:tc>
      </w:tr>
      <w:tr w:rsidR="002831AA" w:rsidRPr="002831AA" w14:paraId="570D7322"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2DF435D0"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2499</w:t>
            </w:r>
          </w:p>
        </w:tc>
        <w:tc>
          <w:tcPr>
            <w:tcW w:w="4745" w:type="dxa"/>
            <w:tcBorders>
              <w:top w:val="nil"/>
              <w:left w:val="nil"/>
              <w:bottom w:val="nil"/>
              <w:right w:val="nil"/>
            </w:tcBorders>
            <w:shd w:val="clear" w:color="auto" w:fill="auto"/>
            <w:noWrap/>
            <w:vAlign w:val="bottom"/>
            <w:hideMark/>
          </w:tcPr>
          <w:p w14:paraId="0CC12E94"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Miscellaneous Engineering</w:t>
            </w:r>
          </w:p>
        </w:tc>
        <w:tc>
          <w:tcPr>
            <w:tcW w:w="1026" w:type="dxa"/>
            <w:tcBorders>
              <w:top w:val="nil"/>
              <w:left w:val="nil"/>
              <w:bottom w:val="nil"/>
              <w:right w:val="nil"/>
            </w:tcBorders>
            <w:shd w:val="clear" w:color="auto" w:fill="auto"/>
            <w:noWrap/>
            <w:vAlign w:val="bottom"/>
            <w:hideMark/>
          </w:tcPr>
          <w:p w14:paraId="6A249837"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5206</w:t>
            </w:r>
          </w:p>
        </w:tc>
        <w:tc>
          <w:tcPr>
            <w:tcW w:w="4765" w:type="dxa"/>
            <w:tcBorders>
              <w:top w:val="nil"/>
              <w:left w:val="nil"/>
              <w:bottom w:val="nil"/>
              <w:right w:val="nil"/>
            </w:tcBorders>
            <w:shd w:val="clear" w:color="auto" w:fill="auto"/>
            <w:noWrap/>
            <w:vAlign w:val="bottom"/>
            <w:hideMark/>
          </w:tcPr>
          <w:p w14:paraId="18F05584"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Social Psychology</w:t>
            </w:r>
          </w:p>
        </w:tc>
      </w:tr>
      <w:tr w:rsidR="002831AA" w:rsidRPr="002831AA" w14:paraId="36687F7E"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3A06B273"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2500</w:t>
            </w:r>
          </w:p>
        </w:tc>
        <w:tc>
          <w:tcPr>
            <w:tcW w:w="4745" w:type="dxa"/>
            <w:tcBorders>
              <w:top w:val="nil"/>
              <w:left w:val="nil"/>
              <w:bottom w:val="nil"/>
              <w:right w:val="nil"/>
            </w:tcBorders>
            <w:shd w:val="clear" w:color="auto" w:fill="auto"/>
            <w:noWrap/>
            <w:vAlign w:val="bottom"/>
            <w:hideMark/>
          </w:tcPr>
          <w:p w14:paraId="2DF8AA1D"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Engineering Technologies</w:t>
            </w:r>
          </w:p>
        </w:tc>
        <w:tc>
          <w:tcPr>
            <w:tcW w:w="1026" w:type="dxa"/>
            <w:tcBorders>
              <w:top w:val="nil"/>
              <w:left w:val="nil"/>
              <w:bottom w:val="nil"/>
              <w:right w:val="nil"/>
            </w:tcBorders>
            <w:shd w:val="clear" w:color="auto" w:fill="auto"/>
            <w:noWrap/>
            <w:vAlign w:val="bottom"/>
            <w:hideMark/>
          </w:tcPr>
          <w:p w14:paraId="37A2E730"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5701</w:t>
            </w:r>
          </w:p>
        </w:tc>
        <w:tc>
          <w:tcPr>
            <w:tcW w:w="4765" w:type="dxa"/>
            <w:tcBorders>
              <w:top w:val="nil"/>
              <w:left w:val="nil"/>
              <w:bottom w:val="nil"/>
              <w:right w:val="nil"/>
            </w:tcBorders>
            <w:shd w:val="clear" w:color="auto" w:fill="auto"/>
            <w:noWrap/>
            <w:vAlign w:val="bottom"/>
            <w:hideMark/>
          </w:tcPr>
          <w:p w14:paraId="7F8BEF4E"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Electrical and Mechanic</w:t>
            </w:r>
          </w:p>
        </w:tc>
      </w:tr>
      <w:tr w:rsidR="002831AA" w:rsidRPr="002831AA" w14:paraId="2F91CE2F"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61EFDDDD"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2501</w:t>
            </w:r>
          </w:p>
        </w:tc>
        <w:tc>
          <w:tcPr>
            <w:tcW w:w="4745" w:type="dxa"/>
            <w:tcBorders>
              <w:top w:val="nil"/>
              <w:left w:val="nil"/>
              <w:bottom w:val="nil"/>
              <w:right w:val="nil"/>
            </w:tcBorders>
            <w:shd w:val="clear" w:color="auto" w:fill="auto"/>
            <w:noWrap/>
            <w:vAlign w:val="bottom"/>
            <w:hideMark/>
          </w:tcPr>
          <w:p w14:paraId="4A1F4000"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Engineering and Industrial Management</w:t>
            </w:r>
          </w:p>
        </w:tc>
        <w:tc>
          <w:tcPr>
            <w:tcW w:w="1026" w:type="dxa"/>
            <w:tcBorders>
              <w:top w:val="nil"/>
              <w:left w:val="nil"/>
              <w:bottom w:val="nil"/>
              <w:right w:val="nil"/>
            </w:tcBorders>
            <w:shd w:val="clear" w:color="auto" w:fill="auto"/>
            <w:noWrap/>
            <w:vAlign w:val="bottom"/>
            <w:hideMark/>
          </w:tcPr>
          <w:p w14:paraId="2BE71C3D" w14:textId="77777777" w:rsidR="002831AA" w:rsidRPr="002831AA" w:rsidRDefault="002831AA" w:rsidP="002831AA">
            <w:pPr>
              <w:spacing w:after="0" w:line="240" w:lineRule="auto"/>
              <w:rPr>
                <w:rFonts w:ascii="Times New Roman" w:eastAsia="Malgun Gothic" w:hAnsi="Times New Roman" w:cs="Times New Roman"/>
                <w:color w:val="000000"/>
              </w:rPr>
            </w:pPr>
          </w:p>
        </w:tc>
        <w:tc>
          <w:tcPr>
            <w:tcW w:w="4765" w:type="dxa"/>
            <w:tcBorders>
              <w:top w:val="nil"/>
              <w:left w:val="nil"/>
              <w:bottom w:val="nil"/>
              <w:right w:val="nil"/>
            </w:tcBorders>
            <w:shd w:val="clear" w:color="auto" w:fill="auto"/>
            <w:noWrap/>
            <w:vAlign w:val="bottom"/>
            <w:hideMark/>
          </w:tcPr>
          <w:p w14:paraId="5C331AA3"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Repairs and Technology</w:t>
            </w:r>
          </w:p>
        </w:tc>
      </w:tr>
      <w:tr w:rsidR="002831AA" w:rsidRPr="002831AA" w14:paraId="015442A9"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079FBB4B"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2502</w:t>
            </w:r>
          </w:p>
        </w:tc>
        <w:tc>
          <w:tcPr>
            <w:tcW w:w="4745" w:type="dxa"/>
            <w:tcBorders>
              <w:top w:val="nil"/>
              <w:left w:val="nil"/>
              <w:bottom w:val="nil"/>
              <w:right w:val="nil"/>
            </w:tcBorders>
            <w:shd w:val="clear" w:color="auto" w:fill="auto"/>
            <w:noWrap/>
            <w:vAlign w:val="bottom"/>
            <w:hideMark/>
          </w:tcPr>
          <w:p w14:paraId="15E0D409"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Electrical Engineering Technology</w:t>
            </w:r>
          </w:p>
        </w:tc>
        <w:tc>
          <w:tcPr>
            <w:tcW w:w="1026" w:type="dxa"/>
            <w:tcBorders>
              <w:top w:val="nil"/>
              <w:left w:val="nil"/>
              <w:bottom w:val="nil"/>
              <w:right w:val="nil"/>
            </w:tcBorders>
            <w:shd w:val="clear" w:color="auto" w:fill="auto"/>
            <w:noWrap/>
            <w:vAlign w:val="bottom"/>
            <w:hideMark/>
          </w:tcPr>
          <w:p w14:paraId="6D33220D"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6202</w:t>
            </w:r>
          </w:p>
        </w:tc>
        <w:tc>
          <w:tcPr>
            <w:tcW w:w="4765" w:type="dxa"/>
            <w:tcBorders>
              <w:top w:val="nil"/>
              <w:left w:val="nil"/>
              <w:bottom w:val="nil"/>
              <w:right w:val="nil"/>
            </w:tcBorders>
            <w:shd w:val="clear" w:color="auto" w:fill="auto"/>
            <w:noWrap/>
            <w:vAlign w:val="bottom"/>
            <w:hideMark/>
          </w:tcPr>
          <w:p w14:paraId="5DAE432F"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Actuarial Science</w:t>
            </w:r>
          </w:p>
        </w:tc>
      </w:tr>
      <w:tr w:rsidR="002831AA" w:rsidRPr="002831AA" w14:paraId="2A8F486F"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188E060B"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2503</w:t>
            </w:r>
          </w:p>
        </w:tc>
        <w:tc>
          <w:tcPr>
            <w:tcW w:w="4745" w:type="dxa"/>
            <w:tcBorders>
              <w:top w:val="nil"/>
              <w:left w:val="nil"/>
              <w:bottom w:val="nil"/>
              <w:right w:val="nil"/>
            </w:tcBorders>
            <w:shd w:val="clear" w:color="auto" w:fill="auto"/>
            <w:noWrap/>
            <w:vAlign w:val="bottom"/>
            <w:hideMark/>
          </w:tcPr>
          <w:p w14:paraId="1B8A93C4"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Industrial Production Technologies</w:t>
            </w:r>
          </w:p>
        </w:tc>
        <w:tc>
          <w:tcPr>
            <w:tcW w:w="1026" w:type="dxa"/>
            <w:tcBorders>
              <w:top w:val="nil"/>
              <w:left w:val="nil"/>
              <w:bottom w:val="nil"/>
              <w:right w:val="nil"/>
            </w:tcBorders>
            <w:shd w:val="clear" w:color="auto" w:fill="auto"/>
            <w:noWrap/>
            <w:vAlign w:val="bottom"/>
            <w:hideMark/>
          </w:tcPr>
          <w:p w14:paraId="2E5374EC"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6108</w:t>
            </w:r>
          </w:p>
        </w:tc>
        <w:tc>
          <w:tcPr>
            <w:tcW w:w="4765" w:type="dxa"/>
            <w:tcBorders>
              <w:top w:val="nil"/>
              <w:left w:val="nil"/>
              <w:bottom w:val="nil"/>
              <w:right w:val="nil"/>
            </w:tcBorders>
            <w:shd w:val="clear" w:color="auto" w:fill="auto"/>
            <w:noWrap/>
            <w:vAlign w:val="bottom"/>
            <w:hideMark/>
          </w:tcPr>
          <w:p w14:paraId="52B95218"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Pharmacy, Pharmaceutical Sciences</w:t>
            </w:r>
          </w:p>
        </w:tc>
      </w:tr>
      <w:tr w:rsidR="002831AA" w:rsidRPr="002831AA" w14:paraId="3CA20A61" w14:textId="77777777" w:rsidTr="002831AA">
        <w:trPr>
          <w:trHeight w:val="288"/>
          <w:jc w:val="center"/>
        </w:trPr>
        <w:tc>
          <w:tcPr>
            <w:tcW w:w="813" w:type="dxa"/>
            <w:tcBorders>
              <w:top w:val="nil"/>
              <w:left w:val="nil"/>
              <w:bottom w:val="nil"/>
              <w:right w:val="nil"/>
            </w:tcBorders>
            <w:shd w:val="clear" w:color="auto" w:fill="auto"/>
            <w:noWrap/>
            <w:vAlign w:val="bottom"/>
            <w:hideMark/>
          </w:tcPr>
          <w:p w14:paraId="55DAA716"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2504</w:t>
            </w:r>
          </w:p>
        </w:tc>
        <w:tc>
          <w:tcPr>
            <w:tcW w:w="4745" w:type="dxa"/>
            <w:tcBorders>
              <w:top w:val="nil"/>
              <w:left w:val="nil"/>
              <w:bottom w:val="nil"/>
              <w:right w:val="nil"/>
            </w:tcBorders>
            <w:shd w:val="clear" w:color="auto" w:fill="auto"/>
            <w:noWrap/>
            <w:vAlign w:val="bottom"/>
            <w:hideMark/>
          </w:tcPr>
          <w:p w14:paraId="4048CBE3"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Mechanical Engineering</w:t>
            </w:r>
          </w:p>
        </w:tc>
        <w:tc>
          <w:tcPr>
            <w:tcW w:w="1026" w:type="dxa"/>
            <w:tcBorders>
              <w:top w:val="nil"/>
              <w:left w:val="nil"/>
              <w:bottom w:val="nil"/>
              <w:right w:val="nil"/>
            </w:tcBorders>
            <w:shd w:val="clear" w:color="auto" w:fill="auto"/>
            <w:noWrap/>
            <w:vAlign w:val="bottom"/>
            <w:hideMark/>
          </w:tcPr>
          <w:p w14:paraId="43C29596" w14:textId="77777777" w:rsidR="002831AA" w:rsidRPr="002831AA" w:rsidRDefault="002831AA" w:rsidP="002831AA">
            <w:pPr>
              <w:spacing w:after="0" w:line="240" w:lineRule="auto"/>
              <w:jc w:val="right"/>
              <w:rPr>
                <w:rFonts w:ascii="Times New Roman" w:eastAsia="Malgun Gothic" w:hAnsi="Times New Roman" w:cs="Times New Roman"/>
                <w:color w:val="000000"/>
              </w:rPr>
            </w:pPr>
            <w:r w:rsidRPr="002831AA">
              <w:rPr>
                <w:rFonts w:ascii="Times New Roman" w:eastAsia="Malgun Gothic" w:hAnsi="Times New Roman" w:cs="Times New Roman"/>
                <w:color w:val="000000"/>
              </w:rPr>
              <w:t>6218</w:t>
            </w:r>
          </w:p>
        </w:tc>
        <w:tc>
          <w:tcPr>
            <w:tcW w:w="4765" w:type="dxa"/>
            <w:tcBorders>
              <w:top w:val="nil"/>
              <w:left w:val="nil"/>
              <w:bottom w:val="nil"/>
              <w:right w:val="nil"/>
            </w:tcBorders>
            <w:shd w:val="clear" w:color="auto" w:fill="auto"/>
            <w:noWrap/>
            <w:vAlign w:val="bottom"/>
            <w:hideMark/>
          </w:tcPr>
          <w:p w14:paraId="1AF17855"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Management Information</w:t>
            </w:r>
          </w:p>
        </w:tc>
      </w:tr>
      <w:tr w:rsidR="002831AA" w:rsidRPr="002831AA" w14:paraId="692393B9" w14:textId="77777777" w:rsidTr="002831AA">
        <w:trPr>
          <w:trHeight w:val="288"/>
          <w:jc w:val="center"/>
        </w:trPr>
        <w:tc>
          <w:tcPr>
            <w:tcW w:w="813" w:type="dxa"/>
            <w:tcBorders>
              <w:top w:val="nil"/>
              <w:left w:val="nil"/>
              <w:bottom w:val="double" w:sz="6" w:space="0" w:color="auto"/>
              <w:right w:val="nil"/>
            </w:tcBorders>
            <w:shd w:val="clear" w:color="auto" w:fill="auto"/>
            <w:noWrap/>
            <w:vAlign w:val="bottom"/>
            <w:hideMark/>
          </w:tcPr>
          <w:p w14:paraId="2F74F93D"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 xml:space="preserve">　</w:t>
            </w:r>
          </w:p>
        </w:tc>
        <w:tc>
          <w:tcPr>
            <w:tcW w:w="4745" w:type="dxa"/>
            <w:tcBorders>
              <w:top w:val="nil"/>
              <w:left w:val="nil"/>
              <w:bottom w:val="double" w:sz="6" w:space="0" w:color="auto"/>
              <w:right w:val="nil"/>
            </w:tcBorders>
            <w:shd w:val="clear" w:color="auto" w:fill="auto"/>
            <w:noWrap/>
            <w:vAlign w:val="bottom"/>
            <w:hideMark/>
          </w:tcPr>
          <w:p w14:paraId="358A765F"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Related Technology</w:t>
            </w:r>
          </w:p>
        </w:tc>
        <w:tc>
          <w:tcPr>
            <w:tcW w:w="1026" w:type="dxa"/>
            <w:tcBorders>
              <w:top w:val="nil"/>
              <w:left w:val="nil"/>
              <w:bottom w:val="double" w:sz="6" w:space="0" w:color="auto"/>
              <w:right w:val="nil"/>
            </w:tcBorders>
            <w:shd w:val="clear" w:color="auto" w:fill="auto"/>
            <w:noWrap/>
            <w:vAlign w:val="bottom"/>
            <w:hideMark/>
          </w:tcPr>
          <w:p w14:paraId="1BEBF2DB"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 xml:space="preserve">　</w:t>
            </w:r>
          </w:p>
        </w:tc>
        <w:tc>
          <w:tcPr>
            <w:tcW w:w="4765" w:type="dxa"/>
            <w:tcBorders>
              <w:top w:val="nil"/>
              <w:left w:val="nil"/>
              <w:bottom w:val="double" w:sz="6" w:space="0" w:color="auto"/>
              <w:right w:val="nil"/>
            </w:tcBorders>
            <w:shd w:val="clear" w:color="auto" w:fill="auto"/>
            <w:noWrap/>
            <w:vAlign w:val="bottom"/>
            <w:hideMark/>
          </w:tcPr>
          <w:p w14:paraId="45D074F4" w14:textId="77777777" w:rsidR="002831AA" w:rsidRPr="002831AA" w:rsidRDefault="002831AA" w:rsidP="002831AA">
            <w:pPr>
              <w:spacing w:after="0" w:line="240" w:lineRule="auto"/>
              <w:rPr>
                <w:rFonts w:ascii="Times New Roman" w:eastAsia="Malgun Gothic" w:hAnsi="Times New Roman" w:cs="Times New Roman"/>
                <w:color w:val="000000"/>
              </w:rPr>
            </w:pPr>
            <w:r w:rsidRPr="002831AA">
              <w:rPr>
                <w:rFonts w:ascii="Times New Roman" w:eastAsia="Malgun Gothic" w:hAnsi="Times New Roman" w:cs="Times New Roman"/>
                <w:color w:val="000000"/>
              </w:rPr>
              <w:t>Systems and Statistics</w:t>
            </w:r>
          </w:p>
        </w:tc>
      </w:tr>
    </w:tbl>
    <w:p w14:paraId="03BE9F6E" w14:textId="77777777" w:rsidR="002831AA" w:rsidRDefault="002831AA" w:rsidP="002831AA">
      <w:pPr>
        <w:widowControl w:val="0"/>
        <w:autoSpaceDE w:val="0"/>
        <w:autoSpaceDN w:val="0"/>
        <w:adjustRightInd w:val="0"/>
        <w:spacing w:line="240" w:lineRule="auto"/>
        <w:jc w:val="both"/>
        <w:rPr>
          <w:rFonts w:ascii="Times New Roman" w:eastAsia="CMR10" w:hAnsi="Times New Roman" w:cs="Times New Roman" w:hint="eastAsia"/>
          <w:sz w:val="24"/>
          <w:szCs w:val="24"/>
          <w14:ligatures w14:val="standardContextual"/>
        </w:rPr>
        <w:sectPr w:rsidR="002831AA" w:rsidSect="002831AA">
          <w:pgSz w:w="11906" w:h="16838"/>
          <w:pgMar w:top="1440" w:right="1440" w:bottom="1440" w:left="1440" w:header="851" w:footer="992" w:gutter="0"/>
          <w:cols w:space="425"/>
          <w:docGrid w:linePitch="360"/>
        </w:sectPr>
      </w:pPr>
    </w:p>
    <w:p w14:paraId="37885382" w14:textId="77777777" w:rsidR="000E49B7" w:rsidRPr="000E49B7" w:rsidRDefault="000E49B7" w:rsidP="002831AA">
      <w:pPr>
        <w:widowControl w:val="0"/>
        <w:autoSpaceDE w:val="0"/>
        <w:autoSpaceDN w:val="0"/>
        <w:adjustRightInd w:val="0"/>
        <w:spacing w:line="240" w:lineRule="auto"/>
        <w:jc w:val="both"/>
        <w:rPr>
          <w:rFonts w:ascii="Times New Roman" w:eastAsia="CMR10" w:hAnsi="Times New Roman" w:cs="Times New Roman" w:hint="eastAsia"/>
          <w:sz w:val="24"/>
          <w:szCs w:val="24"/>
          <w14:ligatures w14:val="standardContextual"/>
        </w:rPr>
      </w:pPr>
    </w:p>
    <w:sectPr w:rsidR="000E49B7" w:rsidRPr="000E49B7" w:rsidSect="000E49B7">
      <w:pgSz w:w="16838" w:h="11906" w:orient="landscape"/>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B34F" w14:textId="77777777" w:rsidR="004752E1" w:rsidRDefault="004752E1" w:rsidP="001961A9">
      <w:pPr>
        <w:spacing w:after="0" w:line="240" w:lineRule="auto"/>
      </w:pPr>
      <w:r>
        <w:separator/>
      </w:r>
    </w:p>
  </w:endnote>
  <w:endnote w:type="continuationSeparator" w:id="0">
    <w:p w14:paraId="01EDE70A" w14:textId="77777777" w:rsidR="004752E1" w:rsidRDefault="004752E1" w:rsidP="0019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MMI8">
    <w:altName w:val="Malgun Gothic"/>
    <w:panose1 w:val="00000000000000000000"/>
    <w:charset w:val="81"/>
    <w:family w:val="auto"/>
    <w:notTrueType/>
    <w:pitch w:val="default"/>
    <w:sig w:usb0="00000001" w:usb1="09060000" w:usb2="00000010" w:usb3="00000000" w:csb0="00080000" w:csb1="00000000"/>
  </w:font>
  <w:font w:name="CMR8">
    <w:altName w:val="Yu Gothic"/>
    <w:panose1 w:val="00000000000000000000"/>
    <w:charset w:val="80"/>
    <w:family w:val="auto"/>
    <w:notTrueType/>
    <w:pitch w:val="default"/>
    <w:sig w:usb0="00000001" w:usb1="09070000" w:usb2="00000010" w:usb3="00000000" w:csb0="000A0000" w:csb1="00000000"/>
  </w:font>
  <w:font w:name="CMBX12">
    <w:altName w:val="Yu Gothic"/>
    <w:panose1 w:val="00000000000000000000"/>
    <w:charset w:val="80"/>
    <w:family w:val="auto"/>
    <w:notTrueType/>
    <w:pitch w:val="default"/>
    <w:sig w:usb0="00000001" w:usb1="09070000" w:usb2="00000010" w:usb3="00000000" w:csb0="000A0000" w:csb1="00000000"/>
  </w:font>
  <w:font w:name="CMTI12">
    <w:altName w:val="Yu Gothic"/>
    <w:panose1 w:val="00000000000000000000"/>
    <w:charset w:val="80"/>
    <w:family w:val="auto"/>
    <w:notTrueType/>
    <w:pitch w:val="default"/>
    <w:sig w:usb0="00000001" w:usb1="09070000" w:usb2="00000010" w:usb3="00000000" w:csb0="000A0000" w:csb1="00000000"/>
  </w:font>
  <w:font w:name="CMR12">
    <w:altName w:val="Malgun Gothic"/>
    <w:panose1 w:val="00000000000000000000"/>
    <w:charset w:val="81"/>
    <w:family w:val="auto"/>
    <w:notTrueType/>
    <w:pitch w:val="default"/>
    <w:sig w:usb0="00000001" w:usb1="09060000" w:usb2="00000010" w:usb3="00000000" w:csb0="00080000" w:csb1="00000000"/>
  </w:font>
  <w:font w:name="CMR10">
    <w:altName w:val="Malgun Gothic"/>
    <w:panose1 w:val="00000000000000000000"/>
    <w:charset w:val="81"/>
    <w:family w:val="auto"/>
    <w:notTrueType/>
    <w:pitch w:val="default"/>
    <w:sig w:usb0="00000001" w:usb1="09070000" w:usb2="00000010" w:usb3="00000000" w:csb0="000A0000" w:csb1="00000000"/>
  </w:font>
  <w:font w:name="Cambria Math">
    <w:panose1 w:val="02040503050406030204"/>
    <w:charset w:val="00"/>
    <w:family w:val="roman"/>
    <w:pitch w:val="variable"/>
    <w:sig w:usb0="E00006FF" w:usb1="420024FF" w:usb2="02000000" w:usb3="00000000" w:csb0="0000019F" w:csb1="00000000"/>
  </w:font>
  <w:font w:name="CMMI12">
    <w:altName w:val="Malgun Gothic"/>
    <w:panose1 w:val="00000000000000000000"/>
    <w:charset w:val="81"/>
    <w:family w:val="auto"/>
    <w:notTrueType/>
    <w:pitch w:val="default"/>
    <w:sig w:usb0="00000001" w:usb1="09060000" w:usb2="00000010" w:usb3="00000000" w:csb0="00080000" w:csb1="00000000"/>
  </w:font>
  <w:font w:name="CMSY10">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40044"/>
      <w:docPartObj>
        <w:docPartGallery w:val="Page Numbers (Bottom of Page)"/>
        <w:docPartUnique/>
      </w:docPartObj>
    </w:sdtPr>
    <w:sdtEndPr>
      <w:rPr>
        <w:noProof/>
      </w:rPr>
    </w:sdtEndPr>
    <w:sdtContent>
      <w:p w14:paraId="49EBE39F" w14:textId="035BD3F1" w:rsidR="00CF020A" w:rsidRDefault="00CF02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BC668" w14:textId="77777777" w:rsidR="00CF020A" w:rsidRDefault="00CF0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97CE" w14:textId="77777777" w:rsidR="004752E1" w:rsidRDefault="004752E1" w:rsidP="001961A9">
      <w:pPr>
        <w:spacing w:after="0" w:line="240" w:lineRule="auto"/>
      </w:pPr>
      <w:r>
        <w:separator/>
      </w:r>
    </w:p>
  </w:footnote>
  <w:footnote w:type="continuationSeparator" w:id="0">
    <w:p w14:paraId="60CE9BA2" w14:textId="77777777" w:rsidR="004752E1" w:rsidRDefault="004752E1" w:rsidP="001961A9">
      <w:pPr>
        <w:spacing w:after="0" w:line="240" w:lineRule="auto"/>
      </w:pPr>
      <w:r>
        <w:continuationSeparator/>
      </w:r>
    </w:p>
  </w:footnote>
  <w:footnote w:id="1">
    <w:p w14:paraId="37D5CFC0" w14:textId="55675210" w:rsidR="001961A9" w:rsidRPr="009426D7" w:rsidRDefault="001961A9" w:rsidP="001961A9">
      <w:pPr>
        <w:pStyle w:val="Default"/>
        <w:rPr>
          <w:sz w:val="18"/>
          <w:szCs w:val="18"/>
        </w:rPr>
      </w:pPr>
      <w:r w:rsidRPr="009426D7">
        <w:rPr>
          <w:rStyle w:val="FootnoteReference"/>
          <w:sz w:val="18"/>
          <w:szCs w:val="18"/>
        </w:rPr>
        <w:sym w:font="Symbol" w:char="F02A"/>
      </w:r>
      <w:r w:rsidRPr="009426D7">
        <w:rPr>
          <w:sz w:val="18"/>
          <w:szCs w:val="18"/>
        </w:rPr>
        <w:t xml:space="preserve"> Department of Economics</w:t>
      </w:r>
      <w:r>
        <w:rPr>
          <w:sz w:val="18"/>
          <w:szCs w:val="18"/>
        </w:rPr>
        <w:t>, College of Arts and Sciences, Jacksonville University, email: aju@ju.edu</w:t>
      </w:r>
    </w:p>
  </w:footnote>
  <w:footnote w:id="2">
    <w:p w14:paraId="208FCF85" w14:textId="06DBE71D" w:rsidR="001961A9" w:rsidRPr="004E2CDC" w:rsidRDefault="001961A9" w:rsidP="001961A9">
      <w:pPr>
        <w:pStyle w:val="FootnoteText"/>
      </w:pPr>
      <w:r w:rsidRPr="009426D7">
        <w:rPr>
          <w:rStyle w:val="FootnoteReference"/>
          <w:rFonts w:ascii="Times New Roman" w:hAnsi="Times New Roman" w:cs="Times New Roman"/>
          <w:sz w:val="18"/>
          <w:szCs w:val="18"/>
        </w:rPr>
        <w:t>±</w:t>
      </w:r>
      <w:r w:rsidRPr="009426D7">
        <w:rPr>
          <w:rFonts w:ascii="Times New Roman" w:hAnsi="Times New Roman" w:cs="Times New Roman"/>
          <w:sz w:val="18"/>
          <w:szCs w:val="18"/>
        </w:rPr>
        <w:t xml:space="preserve"> Department of Accounting</w:t>
      </w:r>
      <w:r>
        <w:rPr>
          <w:rFonts w:ascii="Times New Roman" w:hAnsi="Times New Roman" w:cs="Times New Roman"/>
          <w:sz w:val="18"/>
          <w:szCs w:val="18"/>
        </w:rPr>
        <w:t xml:space="preserve"> and Finance, Florida Gulf Coast University and IZA, email: krishna.regmi.econ@gmail.com</w:t>
      </w:r>
    </w:p>
  </w:footnote>
  <w:footnote w:id="3">
    <w:p w14:paraId="00EAE48D" w14:textId="0C9CDD6A" w:rsidR="00412F22" w:rsidRPr="00412F22" w:rsidRDefault="00412F22">
      <w:pPr>
        <w:pStyle w:val="FootnoteText"/>
        <w:rPr>
          <w:rFonts w:ascii="Times New Roman" w:hAnsi="Times New Roman" w:cs="Times New Roman"/>
        </w:rPr>
      </w:pPr>
      <w:r w:rsidRPr="00412F22">
        <w:rPr>
          <w:rStyle w:val="FootnoteReference"/>
          <w:rFonts w:ascii="Times New Roman" w:hAnsi="Times New Roman" w:cs="Times New Roman"/>
        </w:rPr>
        <w:footnoteRef/>
      </w:r>
      <w:r w:rsidRPr="00412F22">
        <w:rPr>
          <w:rFonts w:ascii="Times New Roman" w:hAnsi="Times New Roman" w:cs="Times New Roman"/>
          <w14:ligatures w14:val="standardContextual"/>
        </w:rPr>
        <w:t>According to the National Center for Education Statistics, around 76.5 percent of teachers are women.</w:t>
      </w:r>
    </w:p>
  </w:footnote>
  <w:footnote w:id="4">
    <w:p w14:paraId="4E3B0392" w14:textId="3DB4BDCC" w:rsidR="00CF020A" w:rsidRPr="00CF020A" w:rsidRDefault="00CF020A" w:rsidP="00CF020A">
      <w:pPr>
        <w:widowControl w:val="0"/>
        <w:autoSpaceDE w:val="0"/>
        <w:autoSpaceDN w:val="0"/>
        <w:adjustRightInd w:val="0"/>
        <w:spacing w:after="0" w:line="240" w:lineRule="auto"/>
        <w:jc w:val="both"/>
        <w:rPr>
          <w:rFonts w:ascii="Times New Roman" w:hAnsi="Times New Roman" w:cs="Times New Roman"/>
          <w:color w:val="000000"/>
          <w:sz w:val="20"/>
          <w:szCs w:val="20"/>
          <w14:ligatures w14:val="standardContextual"/>
        </w:rPr>
      </w:pPr>
      <w:r w:rsidRPr="00CF020A">
        <w:rPr>
          <w:rStyle w:val="FootnoteReference"/>
          <w:rFonts w:ascii="Times New Roman" w:hAnsi="Times New Roman" w:cs="Times New Roman"/>
          <w:sz w:val="20"/>
          <w:szCs w:val="20"/>
        </w:rPr>
        <w:footnoteRef/>
      </w:r>
      <w:r w:rsidRPr="00CF020A">
        <w:rPr>
          <w:rFonts w:ascii="Times New Roman" w:hAnsi="Times New Roman" w:cs="Times New Roman"/>
          <w:color w:val="000000"/>
          <w:sz w:val="20"/>
          <w:szCs w:val="20"/>
          <w14:ligatures w14:val="standardContextual"/>
        </w:rPr>
        <w:t xml:space="preserve">Moreover, </w:t>
      </w:r>
      <w:r w:rsidRPr="002E6946">
        <w:rPr>
          <w:rFonts w:ascii="Times New Roman" w:hAnsi="Times New Roman" w:cs="Times New Roman"/>
          <w:sz w:val="20"/>
          <w:szCs w:val="20"/>
          <w14:ligatures w14:val="standardContextual"/>
        </w:rPr>
        <w:t xml:space="preserve">our study indirectly connects to and carries implications for a relatively large literature on the role of teachers’ unions on teachers’ productivity, often measured by student achievement and adult earnings. The findings from these studies have been mixed. Earlier studies in this literature tend to suggest a positive effect of teachers’ unions on student achievement (e.g., Eberts and Stone 1987). However, Hoxby (1996) reports that teachers’ unions increase high school dropout rates by close to 2 percentage points, while </w:t>
      </w:r>
      <w:proofErr w:type="spellStart"/>
      <w:r w:rsidRPr="002E6946">
        <w:rPr>
          <w:rFonts w:ascii="Times New Roman" w:hAnsi="Times New Roman" w:cs="Times New Roman"/>
          <w:sz w:val="20"/>
          <w:szCs w:val="20"/>
          <w14:ligatures w14:val="standardContextual"/>
        </w:rPr>
        <w:t>Lovenheim</w:t>
      </w:r>
      <w:proofErr w:type="spellEnd"/>
      <w:r w:rsidRPr="002E6946">
        <w:rPr>
          <w:rFonts w:ascii="Times New Roman" w:hAnsi="Times New Roman" w:cs="Times New Roman"/>
          <w:sz w:val="20"/>
          <w:szCs w:val="20"/>
          <w14:ligatures w14:val="standardContextual"/>
        </w:rPr>
        <w:t xml:space="preserve"> (2009) finds no significant effects on high school dropout rates. Exploring the various provisions of collective bargaining agreements, Moe (2009), Strunk (2011), Strunk and McEachin (2011), and Marianno and Strunk (2018) conclude that more restrictive agreements generally result in a negative impact on academic achievement.</w:t>
      </w:r>
    </w:p>
  </w:footnote>
  <w:footnote w:id="5">
    <w:p w14:paraId="1742CB1D" w14:textId="4496A5B9" w:rsidR="00CF020A" w:rsidRPr="00CF020A" w:rsidRDefault="00CF020A" w:rsidP="00CF020A">
      <w:pPr>
        <w:widowControl w:val="0"/>
        <w:autoSpaceDE w:val="0"/>
        <w:autoSpaceDN w:val="0"/>
        <w:adjustRightInd w:val="0"/>
        <w:spacing w:after="0" w:line="240" w:lineRule="auto"/>
        <w:jc w:val="both"/>
        <w:rPr>
          <w:rFonts w:ascii="Times New Roman" w:hAnsi="Times New Roman" w:cs="Times New Roman"/>
          <w:color w:val="000000"/>
          <w:sz w:val="20"/>
          <w:szCs w:val="20"/>
          <w14:ligatures w14:val="standardContextual"/>
        </w:rPr>
      </w:pPr>
      <w:r w:rsidRPr="00CF020A">
        <w:rPr>
          <w:rStyle w:val="FootnoteReference"/>
          <w:rFonts w:ascii="Times New Roman" w:hAnsi="Times New Roman" w:cs="Times New Roman"/>
          <w:sz w:val="20"/>
          <w:szCs w:val="20"/>
        </w:rPr>
        <w:footnoteRef/>
      </w:r>
      <w:r w:rsidRPr="00CF020A">
        <w:rPr>
          <w:rFonts w:ascii="Times New Roman" w:hAnsi="Times New Roman" w:cs="Times New Roman"/>
          <w:sz w:val="20"/>
          <w:szCs w:val="20"/>
        </w:rPr>
        <w:t xml:space="preserve">For </w:t>
      </w:r>
      <w:r w:rsidRPr="00CF020A">
        <w:rPr>
          <w:rFonts w:ascii="Times New Roman" w:hAnsi="Times New Roman" w:cs="Times New Roman"/>
          <w:sz w:val="20"/>
          <w:szCs w:val="20"/>
          <w14:ligatures w14:val="standardContextual"/>
        </w:rPr>
        <w:t>instance, Feng and Sass 2018 utilize data from Florida to provide evidence of both student loan forgiveness and one-time bonus programs significantly reducing the exit of math and science teachers. Clotfelter et al.</w:t>
      </w:r>
      <w:r>
        <w:rPr>
          <w:rFonts w:ascii="Times New Roman" w:hAnsi="Times New Roman" w:cs="Times New Roman"/>
          <w:sz w:val="20"/>
          <w:szCs w:val="20"/>
          <w14:ligatures w14:val="standardContextual"/>
        </w:rPr>
        <w:t xml:space="preserve"> </w:t>
      </w:r>
      <w:r w:rsidRPr="00CF020A">
        <w:rPr>
          <w:rFonts w:ascii="Times New Roman" w:hAnsi="Times New Roman" w:cs="Times New Roman"/>
          <w:sz w:val="20"/>
          <w:szCs w:val="20"/>
          <w14:ligatures w14:val="standardContextual"/>
        </w:rPr>
        <w:t>(2008) demonstrate that an annual bonus of $1,800 reduces the turnover of math, science, and special education teachers by about 17 percent.</w:t>
      </w:r>
    </w:p>
  </w:footnote>
  <w:footnote w:id="6">
    <w:p w14:paraId="03B06368" w14:textId="537444D6" w:rsidR="00B830DF" w:rsidRPr="00B830DF" w:rsidRDefault="00B830DF" w:rsidP="00B830DF">
      <w:pPr>
        <w:widowControl w:val="0"/>
        <w:autoSpaceDE w:val="0"/>
        <w:autoSpaceDN w:val="0"/>
        <w:adjustRightInd w:val="0"/>
        <w:spacing w:after="0" w:line="240" w:lineRule="auto"/>
        <w:jc w:val="both"/>
        <w:rPr>
          <w:rFonts w:ascii="Times New Roman" w:hAnsi="Times New Roman" w:cs="Times New Roman"/>
          <w:sz w:val="20"/>
          <w:szCs w:val="20"/>
          <w14:ligatures w14:val="standardContextual"/>
        </w:rPr>
      </w:pPr>
      <w:r w:rsidRPr="00B830DF">
        <w:rPr>
          <w:rStyle w:val="FootnoteReference"/>
          <w:rFonts w:ascii="Times New Roman" w:hAnsi="Times New Roman" w:cs="Times New Roman"/>
          <w:sz w:val="20"/>
          <w:szCs w:val="20"/>
        </w:rPr>
        <w:footnoteRef/>
      </w:r>
      <w:r w:rsidRPr="00B830DF">
        <w:rPr>
          <w:rFonts w:ascii="Times New Roman" w:hAnsi="Times New Roman" w:cs="Times New Roman"/>
          <w:sz w:val="20"/>
          <w:szCs w:val="20"/>
        </w:rPr>
        <w:t>I</w:t>
      </w:r>
      <w:r w:rsidRPr="00B830DF">
        <w:rPr>
          <w:rFonts w:ascii="Times New Roman" w:hAnsi="Times New Roman" w:cs="Times New Roman"/>
          <w:sz w:val="20"/>
          <w:szCs w:val="20"/>
          <w14:ligatures w14:val="standardContextual"/>
        </w:rPr>
        <w:t>t is important to note that the ACS reports the field of study that individuals majored in their bachelor’s degree.</w:t>
      </w:r>
    </w:p>
  </w:footnote>
  <w:footnote w:id="7">
    <w:p w14:paraId="11A4AC3B" w14:textId="74D2A6D1" w:rsidR="00B830DF" w:rsidRDefault="00B830DF">
      <w:pPr>
        <w:pStyle w:val="FootnoteText"/>
      </w:pPr>
      <w:r w:rsidRPr="00B830DF">
        <w:rPr>
          <w:rStyle w:val="FootnoteReference"/>
          <w:rFonts w:ascii="Times New Roman" w:hAnsi="Times New Roman" w:cs="Times New Roman"/>
        </w:rPr>
        <w:footnoteRef/>
      </w:r>
      <w:r w:rsidRPr="00B830DF">
        <w:rPr>
          <w:rFonts w:ascii="Times New Roman" w:hAnsi="Times New Roman" w:cs="Times New Roman"/>
          <w14:ligatures w14:val="standardContextual"/>
        </w:rPr>
        <w:t>The link is https://www.ice.gov/sites/default/files/documents/Document/2016/stem-list.pdf.</w:t>
      </w:r>
    </w:p>
  </w:footnote>
  <w:footnote w:id="8">
    <w:p w14:paraId="4CA1083A" w14:textId="22FA58BB" w:rsidR="00B830DF" w:rsidRPr="00B830DF" w:rsidRDefault="00B830DF" w:rsidP="00B830DF">
      <w:pPr>
        <w:widowControl w:val="0"/>
        <w:autoSpaceDE w:val="0"/>
        <w:autoSpaceDN w:val="0"/>
        <w:adjustRightInd w:val="0"/>
        <w:spacing w:after="0" w:line="240" w:lineRule="auto"/>
        <w:rPr>
          <w:rFonts w:ascii="Times New Roman" w:hAnsi="Times New Roman" w:cs="Times New Roman"/>
          <w:sz w:val="20"/>
          <w:szCs w:val="20"/>
          <w14:ligatures w14:val="standardContextual"/>
        </w:rPr>
      </w:pPr>
      <w:r w:rsidRPr="00B830DF">
        <w:rPr>
          <w:rStyle w:val="FootnoteReference"/>
          <w:rFonts w:ascii="Times New Roman" w:hAnsi="Times New Roman" w:cs="Times New Roman"/>
          <w:sz w:val="20"/>
          <w:szCs w:val="20"/>
        </w:rPr>
        <w:footnoteRef/>
      </w:r>
      <w:r w:rsidRPr="00B830DF">
        <w:rPr>
          <w:rFonts w:ascii="Times New Roman" w:hAnsi="Times New Roman" w:cs="Times New Roman"/>
          <w:sz w:val="20"/>
          <w:szCs w:val="20"/>
        </w:rPr>
        <w:t>A</w:t>
      </w:r>
      <w:r w:rsidRPr="00B830DF">
        <w:rPr>
          <w:rFonts w:ascii="Times New Roman" w:hAnsi="Times New Roman" w:cs="Times New Roman"/>
          <w:sz w:val="20"/>
          <w:szCs w:val="20"/>
          <w14:ligatures w14:val="standardContextual"/>
        </w:rPr>
        <w:t xml:space="preserve">s we will see, we conduct a robustness check including kindergarten and earlier </w:t>
      </w:r>
      <w:proofErr w:type="gramStart"/>
      <w:r w:rsidRPr="00B830DF">
        <w:rPr>
          <w:rFonts w:ascii="Times New Roman" w:hAnsi="Times New Roman" w:cs="Times New Roman"/>
          <w:sz w:val="20"/>
          <w:szCs w:val="20"/>
          <w14:ligatures w14:val="standardContextual"/>
        </w:rPr>
        <w:t>school teachers</w:t>
      </w:r>
      <w:proofErr w:type="gramEnd"/>
      <w:r w:rsidRPr="00B830DF">
        <w:rPr>
          <w:rFonts w:ascii="Times New Roman" w:hAnsi="Times New Roman" w:cs="Times New Roman"/>
          <w:sz w:val="20"/>
          <w:szCs w:val="20"/>
          <w14:ligatures w14:val="standardContextual"/>
        </w:rPr>
        <w:t xml:space="preserve"> and our</w:t>
      </w:r>
    </w:p>
    <w:p w14:paraId="38132921" w14:textId="58C56AAB" w:rsidR="00B830DF" w:rsidRPr="00B830DF" w:rsidRDefault="00B830DF" w:rsidP="00B830DF">
      <w:pPr>
        <w:pStyle w:val="FootnoteText"/>
        <w:rPr>
          <w:rFonts w:ascii="Times New Roman" w:hAnsi="Times New Roman" w:cs="Times New Roman"/>
        </w:rPr>
      </w:pPr>
      <w:r w:rsidRPr="00B830DF">
        <w:rPr>
          <w:rFonts w:ascii="Times New Roman" w:hAnsi="Times New Roman" w:cs="Times New Roman"/>
          <w14:ligatures w14:val="standardContextual"/>
        </w:rPr>
        <w:t>results are similar.</w:t>
      </w:r>
    </w:p>
  </w:footnote>
  <w:footnote w:id="9">
    <w:p w14:paraId="554F346C" w14:textId="3732DB54" w:rsidR="00B830DF" w:rsidRDefault="00B830DF">
      <w:pPr>
        <w:pStyle w:val="FootnoteText"/>
      </w:pPr>
      <w:r w:rsidRPr="00B830DF">
        <w:rPr>
          <w:rStyle w:val="FootnoteReference"/>
          <w:rFonts w:ascii="Times New Roman" w:hAnsi="Times New Roman" w:cs="Times New Roman"/>
        </w:rPr>
        <w:footnoteRef/>
      </w:r>
      <w:r w:rsidRPr="00B830DF">
        <w:rPr>
          <w:rFonts w:ascii="Times New Roman" w:hAnsi="Times New Roman" w:cs="Times New Roman"/>
          <w14:ligatures w14:val="standardContextual"/>
        </w:rPr>
        <w:t>As part of a robustness check, we expand our analysis to include the age group of 55-65 years.</w:t>
      </w:r>
    </w:p>
  </w:footnote>
  <w:footnote w:id="10">
    <w:p w14:paraId="1DA45286" w14:textId="2129B14D" w:rsidR="002E6946" w:rsidRPr="002E6946" w:rsidRDefault="002E6946" w:rsidP="002E6946">
      <w:pPr>
        <w:autoSpaceDE w:val="0"/>
        <w:autoSpaceDN w:val="0"/>
        <w:adjustRightInd w:val="0"/>
        <w:spacing w:after="0" w:line="240" w:lineRule="auto"/>
        <w:jc w:val="both"/>
        <w:rPr>
          <w:rFonts w:ascii="Times New Roman" w:eastAsia="CMR10" w:hAnsi="Times New Roman" w:cs="Times New Roman"/>
          <w:sz w:val="18"/>
          <w:szCs w:val="18"/>
          <w14:ligatures w14:val="standardContextual"/>
        </w:rPr>
      </w:pPr>
      <w:r w:rsidRPr="002E6946">
        <w:rPr>
          <w:rStyle w:val="FootnoteReference"/>
          <w:rFonts w:ascii="Times New Roman" w:hAnsi="Times New Roman" w:cs="Times New Roman"/>
          <w:sz w:val="18"/>
          <w:szCs w:val="18"/>
        </w:rPr>
        <w:footnoteRef/>
      </w:r>
      <w:r w:rsidRPr="002E6946">
        <w:rPr>
          <w:rFonts w:ascii="Times New Roman" w:eastAsia="CMR10" w:hAnsi="Times New Roman" w:cs="Times New Roman"/>
          <w:sz w:val="18"/>
          <w:szCs w:val="18"/>
          <w14:ligatures w14:val="standardContextual"/>
        </w:rPr>
        <w:t>We drop Idaho, Indiana, Michigan, Tennessee, and Wisconsin as they repealed CB rights during our analysis period. However, we re-estimate our model including them in a robustness check.</w:t>
      </w:r>
    </w:p>
  </w:footnote>
  <w:footnote w:id="11">
    <w:p w14:paraId="46386497" w14:textId="34B99FFF" w:rsidR="002E6946" w:rsidRPr="002E6946" w:rsidRDefault="002E6946" w:rsidP="002E6946">
      <w:pPr>
        <w:autoSpaceDE w:val="0"/>
        <w:autoSpaceDN w:val="0"/>
        <w:adjustRightInd w:val="0"/>
        <w:spacing w:after="0" w:line="240" w:lineRule="auto"/>
        <w:jc w:val="both"/>
        <w:rPr>
          <w:rFonts w:ascii="Times New Roman" w:eastAsia="CMR10" w:hAnsi="Times New Roman" w:cs="Times New Roman"/>
          <w:sz w:val="18"/>
          <w:szCs w:val="18"/>
          <w14:ligatures w14:val="standardContextual"/>
        </w:rPr>
      </w:pPr>
      <w:r w:rsidRPr="002E6946">
        <w:rPr>
          <w:rStyle w:val="FootnoteReference"/>
          <w:rFonts w:ascii="Times New Roman" w:hAnsi="Times New Roman" w:cs="Times New Roman"/>
          <w:sz w:val="18"/>
          <w:szCs w:val="18"/>
        </w:rPr>
        <w:footnoteRef/>
      </w:r>
      <w:r w:rsidRPr="002E6946">
        <w:rPr>
          <w:rFonts w:ascii="Times New Roman" w:hAnsi="Times New Roman" w:cs="Times New Roman"/>
          <w:sz w:val="18"/>
          <w:szCs w:val="18"/>
        </w:rPr>
        <w:t xml:space="preserve"> </w:t>
      </w:r>
      <w:r w:rsidRPr="002E6946">
        <w:rPr>
          <w:rFonts w:ascii="Times New Roman" w:eastAsia="CMR10" w:hAnsi="Times New Roman" w:cs="Times New Roman"/>
          <w:sz w:val="18"/>
          <w:szCs w:val="18"/>
          <w14:ligatures w14:val="standardContextual"/>
        </w:rPr>
        <w:t>In a robustness check, we consider alternative categorizations of treatment and control groups, as well as</w:t>
      </w:r>
      <w:r>
        <w:rPr>
          <w:rFonts w:ascii="Times New Roman" w:eastAsia="CMR10" w:hAnsi="Times New Roman" w:cs="Times New Roman"/>
          <w:sz w:val="18"/>
          <w:szCs w:val="18"/>
          <w14:ligatures w14:val="standardContextual"/>
        </w:rPr>
        <w:t xml:space="preserve"> </w:t>
      </w:r>
      <w:r w:rsidRPr="002E6946">
        <w:rPr>
          <w:rFonts w:ascii="Times New Roman" w:eastAsia="CMR10" w:hAnsi="Times New Roman" w:cs="Times New Roman"/>
          <w:sz w:val="18"/>
          <w:szCs w:val="18"/>
          <w14:ligatures w14:val="standardContextual"/>
        </w:rPr>
        <w:t>alternative measures of union strength.</w:t>
      </w:r>
    </w:p>
  </w:footnote>
  <w:footnote w:id="12">
    <w:p w14:paraId="30241DB3" w14:textId="1F814178" w:rsidR="009D2CA2" w:rsidRPr="009D2CA2" w:rsidRDefault="009D2CA2" w:rsidP="009D2CA2">
      <w:pPr>
        <w:autoSpaceDE w:val="0"/>
        <w:autoSpaceDN w:val="0"/>
        <w:adjustRightInd w:val="0"/>
        <w:spacing w:after="0" w:line="240" w:lineRule="auto"/>
        <w:rPr>
          <w:rFonts w:ascii="Times New Roman" w:eastAsia="CMR10" w:hAnsi="Times New Roman" w:cs="Times New Roman"/>
          <w:sz w:val="20"/>
          <w:szCs w:val="20"/>
          <w14:ligatures w14:val="standardContextual"/>
        </w:rPr>
      </w:pPr>
      <w:r w:rsidRPr="009D2CA2">
        <w:rPr>
          <w:rStyle w:val="FootnoteReference"/>
          <w:rFonts w:ascii="Times New Roman" w:hAnsi="Times New Roman" w:cs="Times New Roman"/>
          <w:sz w:val="20"/>
          <w:szCs w:val="20"/>
        </w:rPr>
        <w:footnoteRef/>
      </w:r>
      <w:r w:rsidRPr="009D2CA2">
        <w:rPr>
          <w:rFonts w:ascii="Times New Roman" w:eastAsia="CMR10" w:hAnsi="Times New Roman" w:cs="Times New Roman"/>
          <w:sz w:val="20"/>
          <w:szCs w:val="20"/>
          <w14:ligatures w14:val="standardContextual"/>
        </w:rPr>
        <w:t>Marital status is an indicator variable for whether an individual is married or not. We divide the race into four groups: non-Hispanic white, Hispanic, non-Hispanic black, and other non-Hispanic races. Education is divided into a bachelor’s degree and an advanced degree.</w:t>
      </w:r>
    </w:p>
  </w:footnote>
  <w:footnote w:id="13">
    <w:p w14:paraId="568692A4" w14:textId="7C9C4C10" w:rsidR="001870D0" w:rsidRPr="001870D0" w:rsidRDefault="001870D0" w:rsidP="001870D0">
      <w:pPr>
        <w:autoSpaceDE w:val="0"/>
        <w:autoSpaceDN w:val="0"/>
        <w:adjustRightInd w:val="0"/>
        <w:spacing w:after="0" w:line="240" w:lineRule="auto"/>
        <w:jc w:val="both"/>
        <w:rPr>
          <w:rFonts w:ascii="Times New Roman" w:eastAsia="CMR10" w:hAnsi="Times New Roman" w:cs="Times New Roman"/>
          <w:sz w:val="20"/>
          <w:szCs w:val="20"/>
          <w14:ligatures w14:val="standardContextual"/>
        </w:rPr>
      </w:pPr>
      <w:r w:rsidRPr="001870D0">
        <w:rPr>
          <w:rStyle w:val="FootnoteReference"/>
          <w:rFonts w:ascii="Times New Roman" w:hAnsi="Times New Roman" w:cs="Times New Roman"/>
          <w:sz w:val="20"/>
          <w:szCs w:val="20"/>
        </w:rPr>
        <w:footnoteRef/>
      </w:r>
      <w:r w:rsidRPr="001870D0">
        <w:rPr>
          <w:rFonts w:ascii="Times New Roman" w:eastAsia="CMR10" w:hAnsi="Times New Roman" w:cs="Times New Roman"/>
          <w:sz w:val="20"/>
          <w:szCs w:val="20"/>
          <w14:ligatures w14:val="standardContextual"/>
        </w:rPr>
        <w:t>We obtain data on the vote share from MIT Election Data &amp; Science Lab</w:t>
      </w:r>
      <w:r>
        <w:rPr>
          <w:rFonts w:ascii="Times New Roman" w:eastAsia="CMR10" w:hAnsi="Times New Roman" w:cs="Times New Roman"/>
          <w:sz w:val="20"/>
          <w:szCs w:val="20"/>
          <w14:ligatures w14:val="standardContextual"/>
        </w:rPr>
        <w:t xml:space="preserve"> </w:t>
      </w:r>
      <w:r w:rsidRPr="001870D0">
        <w:rPr>
          <w:rFonts w:ascii="Times New Roman" w:eastAsia="CMR10" w:hAnsi="Times New Roman" w:cs="Times New Roman"/>
          <w:sz w:val="20"/>
          <w:szCs w:val="20"/>
          <w14:ligatures w14:val="standardContextual"/>
        </w:rPr>
        <w:t>(https://electionlab.mit.edu/data). We collect data on the median household income from the Census</w:t>
      </w:r>
      <w:r>
        <w:rPr>
          <w:rFonts w:ascii="Times New Roman" w:eastAsia="CMR10" w:hAnsi="Times New Roman" w:cs="Times New Roman"/>
          <w:sz w:val="20"/>
          <w:szCs w:val="20"/>
          <w14:ligatures w14:val="standardContextual"/>
        </w:rPr>
        <w:t xml:space="preserve"> </w:t>
      </w:r>
      <w:r w:rsidRPr="001870D0">
        <w:rPr>
          <w:rFonts w:ascii="Times New Roman" w:eastAsia="CMR10" w:hAnsi="Times New Roman" w:cs="Times New Roman"/>
          <w:sz w:val="20"/>
          <w:szCs w:val="20"/>
          <w14:ligatures w14:val="standardContextual"/>
        </w:rPr>
        <w:t>Bureau</w:t>
      </w:r>
      <w:r>
        <w:rPr>
          <w:rFonts w:ascii="Times New Roman" w:eastAsia="CMR10" w:hAnsi="Times New Roman" w:cs="Times New Roman"/>
          <w:sz w:val="20"/>
          <w:szCs w:val="20"/>
          <w14:ligatures w14:val="standardContextual"/>
        </w:rPr>
        <w:t xml:space="preserve"> </w:t>
      </w:r>
      <w:r w:rsidRPr="001870D0">
        <w:rPr>
          <w:rFonts w:ascii="Times New Roman" w:eastAsia="CMR10" w:hAnsi="Times New Roman" w:cs="Times New Roman"/>
          <w:sz w:val="20"/>
          <w:szCs w:val="20"/>
          <w14:ligatures w14:val="standardContextual"/>
        </w:rPr>
        <w:t>(https://www.census.gov/topics/income-poverty/income/data/tables.2009.html) and county-level labor</w:t>
      </w:r>
      <w:r>
        <w:rPr>
          <w:rFonts w:ascii="Times New Roman" w:eastAsia="CMR10" w:hAnsi="Times New Roman" w:cs="Times New Roman"/>
          <w:sz w:val="20"/>
          <w:szCs w:val="20"/>
          <w14:ligatures w14:val="standardContextual"/>
        </w:rPr>
        <w:t xml:space="preserve"> </w:t>
      </w:r>
      <w:r w:rsidRPr="001870D0">
        <w:rPr>
          <w:rFonts w:ascii="Times New Roman" w:eastAsia="CMR10" w:hAnsi="Times New Roman" w:cs="Times New Roman"/>
          <w:sz w:val="20"/>
          <w:szCs w:val="20"/>
          <w14:ligatures w14:val="standardContextual"/>
        </w:rPr>
        <w:t>force statistics from the Bureau of Labor Statistics (https://www.bls.gov/lau/#cntyaa). We aggregate them to</w:t>
      </w:r>
      <w:r>
        <w:rPr>
          <w:rFonts w:ascii="Times New Roman" w:eastAsia="CMR10" w:hAnsi="Times New Roman" w:cs="Times New Roman"/>
          <w:sz w:val="20"/>
          <w:szCs w:val="20"/>
          <w14:ligatures w14:val="standardContextual"/>
        </w:rPr>
        <w:t xml:space="preserve"> </w:t>
      </w:r>
      <w:r w:rsidRPr="001870D0">
        <w:rPr>
          <w:rFonts w:ascii="Times New Roman" w:eastAsia="CMR10" w:hAnsi="Times New Roman" w:cs="Times New Roman"/>
          <w:sz w:val="20"/>
          <w:szCs w:val="20"/>
          <w14:ligatures w14:val="standardContextual"/>
        </w:rPr>
        <w:t>the commuting zone level by weighting by county population.</w:t>
      </w:r>
    </w:p>
  </w:footnote>
  <w:footnote w:id="14">
    <w:p w14:paraId="763F1555" w14:textId="57C2DFDA" w:rsidR="002F3C69" w:rsidRPr="002F3C69" w:rsidRDefault="002F3C69" w:rsidP="002F3C69">
      <w:pPr>
        <w:autoSpaceDE w:val="0"/>
        <w:autoSpaceDN w:val="0"/>
        <w:adjustRightInd w:val="0"/>
        <w:spacing w:after="0" w:line="240" w:lineRule="auto"/>
        <w:rPr>
          <w:rFonts w:ascii="Times New Roman" w:eastAsia="CMR10" w:hAnsi="Times New Roman" w:cs="Times New Roman"/>
          <w:sz w:val="20"/>
          <w:szCs w:val="20"/>
          <w14:ligatures w14:val="standardContextual"/>
        </w:rPr>
      </w:pPr>
      <w:r w:rsidRPr="002F3C69">
        <w:rPr>
          <w:rStyle w:val="FootnoteReference"/>
          <w:rFonts w:ascii="Times New Roman" w:hAnsi="Times New Roman" w:cs="Times New Roman"/>
          <w:sz w:val="20"/>
          <w:szCs w:val="20"/>
        </w:rPr>
        <w:footnoteRef/>
      </w:r>
      <w:r w:rsidRPr="002F3C69">
        <w:rPr>
          <w:rFonts w:ascii="Times New Roman" w:eastAsia="CMR10" w:hAnsi="Times New Roman" w:cs="Times New Roman"/>
          <w:sz w:val="20"/>
          <w:szCs w:val="20"/>
          <w14:ligatures w14:val="standardContextual"/>
        </w:rPr>
        <w:t>Since the dependent variable is measured in logs, we convert the coefficient on a dummy variable in this way throughout the analysis.</w:t>
      </w:r>
      <w:r w:rsidRPr="002F3C69">
        <w:rPr>
          <w:rFonts w:ascii="Times New Roman" w:hAnsi="Times New Roman" w:cs="Times New Roman"/>
          <w:sz w:val="20"/>
          <w:szCs w:val="20"/>
        </w:rPr>
        <w:t xml:space="preserve"> </w:t>
      </w:r>
    </w:p>
  </w:footnote>
  <w:footnote w:id="15">
    <w:p w14:paraId="18FAEE81" w14:textId="12F9FACE" w:rsidR="002F3C69" w:rsidRPr="002F3C69" w:rsidRDefault="002F3C69" w:rsidP="002F3C69">
      <w:pPr>
        <w:autoSpaceDE w:val="0"/>
        <w:autoSpaceDN w:val="0"/>
        <w:adjustRightInd w:val="0"/>
        <w:spacing w:after="0" w:line="240" w:lineRule="auto"/>
        <w:jc w:val="both"/>
        <w:rPr>
          <w:rFonts w:ascii="Times New Roman" w:eastAsia="CMR10" w:hAnsi="Times New Roman" w:cs="Times New Roman"/>
          <w:color w:val="000000"/>
          <w:sz w:val="20"/>
          <w:szCs w:val="20"/>
          <w14:ligatures w14:val="standardContextual"/>
        </w:rPr>
      </w:pPr>
      <w:r w:rsidRPr="002F3C69">
        <w:rPr>
          <w:rStyle w:val="FootnoteReference"/>
          <w:rFonts w:ascii="Times New Roman" w:hAnsi="Times New Roman" w:cs="Times New Roman"/>
          <w:sz w:val="20"/>
          <w:szCs w:val="20"/>
        </w:rPr>
        <w:footnoteRef/>
      </w:r>
      <w:r w:rsidRPr="002F3C69">
        <w:rPr>
          <w:rFonts w:ascii="Times New Roman" w:eastAsia="CMR10" w:hAnsi="Times New Roman" w:cs="Times New Roman"/>
          <w:color w:val="000000"/>
          <w:sz w:val="20"/>
          <w:szCs w:val="20"/>
          <w14:ligatures w14:val="standardContextual"/>
        </w:rPr>
        <w:t xml:space="preserve">As noted </w:t>
      </w:r>
      <w:r w:rsidR="002936FE">
        <w:rPr>
          <w:rFonts w:ascii="Times New Roman" w:eastAsia="CMR10" w:hAnsi="Times New Roman" w:cs="Times New Roman"/>
          <w:color w:val="000000"/>
          <w:sz w:val="20"/>
          <w:szCs w:val="20"/>
          <w14:ligatures w14:val="standardContextual"/>
        </w:rPr>
        <w:t>earlier</w:t>
      </w:r>
      <w:r w:rsidRPr="002F3C69">
        <w:rPr>
          <w:rFonts w:ascii="Times New Roman" w:eastAsia="CMR10" w:hAnsi="Times New Roman" w:cs="Times New Roman"/>
          <w:color w:val="000000"/>
          <w:sz w:val="20"/>
          <w:szCs w:val="20"/>
          <w14:ligatures w14:val="standardContextual"/>
        </w:rPr>
        <w:t>, we dropped five states (Idaho, Indiana, Michigan, Tennessee, and Wisconsin) which changed their CB laws in 2012. As a robustness check, we repeat our analysis, including them. We bin observations from</w:t>
      </w:r>
      <w:r>
        <w:rPr>
          <w:rFonts w:ascii="Times New Roman" w:eastAsia="CMR10" w:hAnsi="Times New Roman" w:cs="Times New Roman"/>
          <w:color w:val="000000"/>
          <w:sz w:val="20"/>
          <w:szCs w:val="20"/>
          <w14:ligatures w14:val="standardContextual"/>
        </w:rPr>
        <w:t xml:space="preserve"> </w:t>
      </w:r>
      <w:r w:rsidRPr="002F3C69">
        <w:rPr>
          <w:rFonts w:ascii="Times New Roman" w:eastAsia="CMR10" w:hAnsi="Times New Roman" w:cs="Times New Roman"/>
          <w:color w:val="000000"/>
          <w:sz w:val="20"/>
          <w:szCs w:val="20"/>
          <w14:ligatures w14:val="standardContextual"/>
        </w:rPr>
        <w:t xml:space="preserve">these states before 2012 in the CB-mandated group and in 2012 or after in the CB-prohibited group. As reported in Table </w:t>
      </w:r>
      <w:r w:rsidRPr="002F3C69">
        <w:rPr>
          <w:rFonts w:ascii="Times New Roman" w:eastAsia="CMR10" w:hAnsi="Times New Roman" w:cs="Times New Roman"/>
          <w:color w:val="FF0000"/>
          <w:sz w:val="20"/>
          <w:szCs w:val="20"/>
          <w14:ligatures w14:val="standardContextual"/>
        </w:rPr>
        <w:t>A1</w:t>
      </w:r>
      <w:r w:rsidRPr="002F3C69">
        <w:rPr>
          <w:rFonts w:ascii="Times New Roman" w:eastAsia="CMR10" w:hAnsi="Times New Roman" w:cs="Times New Roman"/>
          <w:color w:val="000000"/>
          <w:sz w:val="20"/>
          <w:szCs w:val="20"/>
          <w14:ligatures w14:val="standardContextual"/>
        </w:rPr>
        <w:t>, doing that yields qualitatively similar results.</w:t>
      </w:r>
    </w:p>
  </w:footnote>
  <w:footnote w:id="16">
    <w:p w14:paraId="29C4764F" w14:textId="0A8B2E56" w:rsidR="00F74885" w:rsidRPr="00F74885" w:rsidRDefault="00F74885">
      <w:pPr>
        <w:pStyle w:val="FootnoteText"/>
        <w:rPr>
          <w:rFonts w:ascii="Times New Roman" w:hAnsi="Times New Roman" w:cs="Times New Roman"/>
        </w:rPr>
      </w:pPr>
      <w:r w:rsidRPr="00F74885">
        <w:rPr>
          <w:rStyle w:val="FootnoteReference"/>
          <w:rFonts w:ascii="Times New Roman" w:hAnsi="Times New Roman" w:cs="Times New Roman"/>
        </w:rPr>
        <w:footnoteRef/>
      </w:r>
      <w:r w:rsidRPr="00F74885">
        <w:rPr>
          <w:rFonts w:ascii="Times New Roman" w:eastAsia="CMR10" w:hAnsi="Times New Roman" w:cs="Times New Roman"/>
          <w14:ligatures w14:val="standardContextual"/>
        </w:rPr>
        <w:t>We aggregate the income data to the commuting zone level by weighting by county population.</w:t>
      </w:r>
    </w:p>
  </w:footnote>
  <w:footnote w:id="17">
    <w:p w14:paraId="50AE355F" w14:textId="7E9ABCB9" w:rsidR="00F74885" w:rsidRPr="00F74885" w:rsidRDefault="00F74885">
      <w:pPr>
        <w:pStyle w:val="FootnoteText"/>
        <w:rPr>
          <w:rFonts w:ascii="Times New Roman" w:hAnsi="Times New Roman" w:cs="Times New Roman"/>
        </w:rPr>
      </w:pPr>
      <w:r w:rsidRPr="00F74885">
        <w:rPr>
          <w:rStyle w:val="FootnoteReference"/>
          <w:rFonts w:ascii="Times New Roman" w:hAnsi="Times New Roman" w:cs="Times New Roman"/>
        </w:rPr>
        <w:footnoteRef/>
      </w:r>
      <w:r w:rsidRPr="00F74885">
        <w:rPr>
          <w:rFonts w:ascii="Times New Roman" w:eastAsia="CMR10" w:hAnsi="Times New Roman" w:cs="Times New Roman"/>
          <w14:ligatures w14:val="standardContextual"/>
        </w:rPr>
        <w:t>We obtain these data from Brunner and Ju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F50DD"/>
    <w:multiLevelType w:val="hybridMultilevel"/>
    <w:tmpl w:val="5A7A8458"/>
    <w:lvl w:ilvl="0" w:tplc="ABAEA312">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35D56"/>
    <w:multiLevelType w:val="multilevel"/>
    <w:tmpl w:val="620A774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7A12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131FBC"/>
    <w:multiLevelType w:val="multilevel"/>
    <w:tmpl w:val="620A774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9942046">
    <w:abstractNumId w:val="1"/>
  </w:num>
  <w:num w:numId="2" w16cid:durableId="444269998">
    <w:abstractNumId w:val="2"/>
  </w:num>
  <w:num w:numId="3" w16cid:durableId="50005120">
    <w:abstractNumId w:val="0"/>
  </w:num>
  <w:num w:numId="4" w16cid:durableId="860163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A9"/>
    <w:rsid w:val="00010080"/>
    <w:rsid w:val="00042979"/>
    <w:rsid w:val="000E49B7"/>
    <w:rsid w:val="001870D0"/>
    <w:rsid w:val="001961A9"/>
    <w:rsid w:val="002133F3"/>
    <w:rsid w:val="002831AA"/>
    <w:rsid w:val="002936FE"/>
    <w:rsid w:val="002B1DDA"/>
    <w:rsid w:val="002E6946"/>
    <w:rsid w:val="002F3C69"/>
    <w:rsid w:val="00304E16"/>
    <w:rsid w:val="00365CDF"/>
    <w:rsid w:val="003723BE"/>
    <w:rsid w:val="0039086D"/>
    <w:rsid w:val="003952BB"/>
    <w:rsid w:val="00412F22"/>
    <w:rsid w:val="00447869"/>
    <w:rsid w:val="004752E1"/>
    <w:rsid w:val="004865F9"/>
    <w:rsid w:val="006A139A"/>
    <w:rsid w:val="0082116F"/>
    <w:rsid w:val="00851EFD"/>
    <w:rsid w:val="008E68BB"/>
    <w:rsid w:val="009D2CA2"/>
    <w:rsid w:val="00A11D51"/>
    <w:rsid w:val="00B830DF"/>
    <w:rsid w:val="00CF020A"/>
    <w:rsid w:val="00F748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4D19"/>
  <w15:chartTrackingRefBased/>
  <w15:docId w15:val="{47501EDA-BEEC-4BA7-A286-FE9BA43A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1A9"/>
    <w:pPr>
      <w:jc w:val="left"/>
    </w:pPr>
    <w:rPr>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61A9"/>
    <w:pPr>
      <w:widowControl w:val="0"/>
      <w:wordWrap w:val="0"/>
      <w:spacing w:after="0" w:line="240" w:lineRule="auto"/>
      <w:jc w:val="both"/>
    </w:pPr>
    <w:rPr>
      <w:kern w:val="2"/>
      <w:sz w:val="20"/>
      <w:szCs w:val="20"/>
    </w:rPr>
  </w:style>
  <w:style w:type="character" w:customStyle="1" w:styleId="FootnoteTextChar">
    <w:name w:val="Footnote Text Char"/>
    <w:basedOn w:val="DefaultParagraphFont"/>
    <w:link w:val="FootnoteText"/>
    <w:uiPriority w:val="99"/>
    <w:rsid w:val="001961A9"/>
    <w:rPr>
      <w:szCs w:val="20"/>
      <w14:ligatures w14:val="none"/>
    </w:rPr>
  </w:style>
  <w:style w:type="character" w:styleId="FootnoteReference">
    <w:name w:val="footnote reference"/>
    <w:basedOn w:val="DefaultParagraphFont"/>
    <w:uiPriority w:val="99"/>
    <w:unhideWhenUsed/>
    <w:rsid w:val="001961A9"/>
    <w:rPr>
      <w:vertAlign w:val="superscript"/>
    </w:rPr>
  </w:style>
  <w:style w:type="paragraph" w:customStyle="1" w:styleId="Default">
    <w:name w:val="Default"/>
    <w:rsid w:val="001961A9"/>
    <w:pPr>
      <w:autoSpaceDE w:val="0"/>
      <w:autoSpaceDN w:val="0"/>
      <w:adjustRightInd w:val="0"/>
      <w:spacing w:after="0" w:line="240" w:lineRule="auto"/>
      <w:jc w:val="left"/>
    </w:pPr>
    <w:rPr>
      <w:rFonts w:ascii="Times New Roman" w:hAnsi="Times New Roman" w:cs="Times New Roman"/>
      <w:color w:val="000000"/>
      <w:kern w:val="0"/>
      <w:sz w:val="24"/>
      <w:szCs w:val="24"/>
      <w14:ligatures w14:val="none"/>
    </w:rPr>
  </w:style>
  <w:style w:type="paragraph" w:styleId="ListParagraph">
    <w:name w:val="List Paragraph"/>
    <w:basedOn w:val="Normal"/>
    <w:uiPriority w:val="34"/>
    <w:qFormat/>
    <w:rsid w:val="001961A9"/>
    <w:pPr>
      <w:ind w:leftChars="400" w:left="800"/>
    </w:pPr>
  </w:style>
  <w:style w:type="paragraph" w:styleId="Header">
    <w:name w:val="header"/>
    <w:basedOn w:val="Normal"/>
    <w:link w:val="HeaderChar"/>
    <w:uiPriority w:val="99"/>
    <w:unhideWhenUsed/>
    <w:rsid w:val="00CF020A"/>
    <w:pPr>
      <w:tabs>
        <w:tab w:val="center" w:pos="4513"/>
        <w:tab w:val="right" w:pos="9026"/>
      </w:tabs>
      <w:snapToGrid w:val="0"/>
    </w:pPr>
  </w:style>
  <w:style w:type="character" w:customStyle="1" w:styleId="HeaderChar">
    <w:name w:val="Header Char"/>
    <w:basedOn w:val="DefaultParagraphFont"/>
    <w:link w:val="Header"/>
    <w:uiPriority w:val="99"/>
    <w:rsid w:val="00CF020A"/>
    <w:rPr>
      <w:kern w:val="0"/>
      <w:sz w:val="22"/>
      <w14:ligatures w14:val="none"/>
    </w:rPr>
  </w:style>
  <w:style w:type="paragraph" w:styleId="Footer">
    <w:name w:val="footer"/>
    <w:basedOn w:val="Normal"/>
    <w:link w:val="FooterChar"/>
    <w:uiPriority w:val="99"/>
    <w:unhideWhenUsed/>
    <w:rsid w:val="00CF020A"/>
    <w:pPr>
      <w:tabs>
        <w:tab w:val="center" w:pos="4513"/>
        <w:tab w:val="right" w:pos="9026"/>
      </w:tabs>
      <w:snapToGrid w:val="0"/>
    </w:pPr>
  </w:style>
  <w:style w:type="character" w:customStyle="1" w:styleId="FooterChar">
    <w:name w:val="Footer Char"/>
    <w:basedOn w:val="DefaultParagraphFont"/>
    <w:link w:val="Footer"/>
    <w:uiPriority w:val="99"/>
    <w:rsid w:val="00CF020A"/>
    <w:rPr>
      <w:kern w:val="0"/>
      <w:sz w:val="22"/>
      <w14:ligatures w14:val="none"/>
    </w:rPr>
  </w:style>
  <w:style w:type="character" w:styleId="PlaceholderText">
    <w:name w:val="Placeholder Text"/>
    <w:basedOn w:val="DefaultParagraphFont"/>
    <w:uiPriority w:val="99"/>
    <w:semiHidden/>
    <w:rsid w:val="00304E16"/>
    <w:rPr>
      <w:color w:val="808080"/>
    </w:rPr>
  </w:style>
  <w:style w:type="character" w:styleId="Hyperlink">
    <w:name w:val="Hyperlink"/>
    <w:basedOn w:val="DefaultParagraphFont"/>
    <w:uiPriority w:val="99"/>
    <w:unhideWhenUsed/>
    <w:rsid w:val="00010080"/>
    <w:rPr>
      <w:color w:val="0563C1" w:themeColor="hyperlink"/>
      <w:u w:val="single"/>
    </w:rPr>
  </w:style>
  <w:style w:type="character" w:styleId="UnresolvedMention">
    <w:name w:val="Unresolved Mention"/>
    <w:basedOn w:val="DefaultParagraphFont"/>
    <w:uiPriority w:val="99"/>
    <w:semiHidden/>
    <w:unhideWhenUsed/>
    <w:rsid w:val="00010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751">
      <w:bodyDiv w:val="1"/>
      <w:marLeft w:val="0"/>
      <w:marRight w:val="0"/>
      <w:marTop w:val="0"/>
      <w:marBottom w:val="0"/>
      <w:divBdr>
        <w:top w:val="none" w:sz="0" w:space="0" w:color="auto"/>
        <w:left w:val="none" w:sz="0" w:space="0" w:color="auto"/>
        <w:bottom w:val="none" w:sz="0" w:space="0" w:color="auto"/>
        <w:right w:val="none" w:sz="0" w:space="0" w:color="auto"/>
      </w:divBdr>
    </w:div>
    <w:div w:id="182980615">
      <w:bodyDiv w:val="1"/>
      <w:marLeft w:val="0"/>
      <w:marRight w:val="0"/>
      <w:marTop w:val="0"/>
      <w:marBottom w:val="0"/>
      <w:divBdr>
        <w:top w:val="none" w:sz="0" w:space="0" w:color="auto"/>
        <w:left w:val="none" w:sz="0" w:space="0" w:color="auto"/>
        <w:bottom w:val="none" w:sz="0" w:space="0" w:color="auto"/>
        <w:right w:val="none" w:sz="0" w:space="0" w:color="auto"/>
      </w:divBdr>
    </w:div>
    <w:div w:id="232787281">
      <w:bodyDiv w:val="1"/>
      <w:marLeft w:val="0"/>
      <w:marRight w:val="0"/>
      <w:marTop w:val="0"/>
      <w:marBottom w:val="0"/>
      <w:divBdr>
        <w:top w:val="none" w:sz="0" w:space="0" w:color="auto"/>
        <w:left w:val="none" w:sz="0" w:space="0" w:color="auto"/>
        <w:bottom w:val="none" w:sz="0" w:space="0" w:color="auto"/>
        <w:right w:val="none" w:sz="0" w:space="0" w:color="auto"/>
      </w:divBdr>
    </w:div>
    <w:div w:id="236214143">
      <w:bodyDiv w:val="1"/>
      <w:marLeft w:val="0"/>
      <w:marRight w:val="0"/>
      <w:marTop w:val="0"/>
      <w:marBottom w:val="0"/>
      <w:divBdr>
        <w:top w:val="none" w:sz="0" w:space="0" w:color="auto"/>
        <w:left w:val="none" w:sz="0" w:space="0" w:color="auto"/>
        <w:bottom w:val="none" w:sz="0" w:space="0" w:color="auto"/>
        <w:right w:val="none" w:sz="0" w:space="0" w:color="auto"/>
      </w:divBdr>
    </w:div>
    <w:div w:id="487091099">
      <w:bodyDiv w:val="1"/>
      <w:marLeft w:val="0"/>
      <w:marRight w:val="0"/>
      <w:marTop w:val="0"/>
      <w:marBottom w:val="0"/>
      <w:divBdr>
        <w:top w:val="none" w:sz="0" w:space="0" w:color="auto"/>
        <w:left w:val="none" w:sz="0" w:space="0" w:color="auto"/>
        <w:bottom w:val="none" w:sz="0" w:space="0" w:color="auto"/>
        <w:right w:val="none" w:sz="0" w:space="0" w:color="auto"/>
      </w:divBdr>
    </w:div>
    <w:div w:id="503591646">
      <w:bodyDiv w:val="1"/>
      <w:marLeft w:val="0"/>
      <w:marRight w:val="0"/>
      <w:marTop w:val="0"/>
      <w:marBottom w:val="0"/>
      <w:divBdr>
        <w:top w:val="none" w:sz="0" w:space="0" w:color="auto"/>
        <w:left w:val="none" w:sz="0" w:space="0" w:color="auto"/>
        <w:bottom w:val="none" w:sz="0" w:space="0" w:color="auto"/>
        <w:right w:val="none" w:sz="0" w:space="0" w:color="auto"/>
      </w:divBdr>
    </w:div>
    <w:div w:id="507525210">
      <w:bodyDiv w:val="1"/>
      <w:marLeft w:val="0"/>
      <w:marRight w:val="0"/>
      <w:marTop w:val="0"/>
      <w:marBottom w:val="0"/>
      <w:divBdr>
        <w:top w:val="none" w:sz="0" w:space="0" w:color="auto"/>
        <w:left w:val="none" w:sz="0" w:space="0" w:color="auto"/>
        <w:bottom w:val="none" w:sz="0" w:space="0" w:color="auto"/>
        <w:right w:val="none" w:sz="0" w:space="0" w:color="auto"/>
      </w:divBdr>
    </w:div>
    <w:div w:id="518661248">
      <w:bodyDiv w:val="1"/>
      <w:marLeft w:val="0"/>
      <w:marRight w:val="0"/>
      <w:marTop w:val="0"/>
      <w:marBottom w:val="0"/>
      <w:divBdr>
        <w:top w:val="none" w:sz="0" w:space="0" w:color="auto"/>
        <w:left w:val="none" w:sz="0" w:space="0" w:color="auto"/>
        <w:bottom w:val="none" w:sz="0" w:space="0" w:color="auto"/>
        <w:right w:val="none" w:sz="0" w:space="0" w:color="auto"/>
      </w:divBdr>
    </w:div>
    <w:div w:id="549004006">
      <w:bodyDiv w:val="1"/>
      <w:marLeft w:val="0"/>
      <w:marRight w:val="0"/>
      <w:marTop w:val="0"/>
      <w:marBottom w:val="0"/>
      <w:divBdr>
        <w:top w:val="none" w:sz="0" w:space="0" w:color="auto"/>
        <w:left w:val="none" w:sz="0" w:space="0" w:color="auto"/>
        <w:bottom w:val="none" w:sz="0" w:space="0" w:color="auto"/>
        <w:right w:val="none" w:sz="0" w:space="0" w:color="auto"/>
      </w:divBdr>
    </w:div>
    <w:div w:id="733360299">
      <w:bodyDiv w:val="1"/>
      <w:marLeft w:val="0"/>
      <w:marRight w:val="0"/>
      <w:marTop w:val="0"/>
      <w:marBottom w:val="0"/>
      <w:divBdr>
        <w:top w:val="none" w:sz="0" w:space="0" w:color="auto"/>
        <w:left w:val="none" w:sz="0" w:space="0" w:color="auto"/>
        <w:bottom w:val="none" w:sz="0" w:space="0" w:color="auto"/>
        <w:right w:val="none" w:sz="0" w:space="0" w:color="auto"/>
      </w:divBdr>
    </w:div>
    <w:div w:id="799806674">
      <w:bodyDiv w:val="1"/>
      <w:marLeft w:val="0"/>
      <w:marRight w:val="0"/>
      <w:marTop w:val="0"/>
      <w:marBottom w:val="0"/>
      <w:divBdr>
        <w:top w:val="none" w:sz="0" w:space="0" w:color="auto"/>
        <w:left w:val="none" w:sz="0" w:space="0" w:color="auto"/>
        <w:bottom w:val="none" w:sz="0" w:space="0" w:color="auto"/>
        <w:right w:val="none" w:sz="0" w:space="0" w:color="auto"/>
      </w:divBdr>
    </w:div>
    <w:div w:id="1043561536">
      <w:bodyDiv w:val="1"/>
      <w:marLeft w:val="0"/>
      <w:marRight w:val="0"/>
      <w:marTop w:val="0"/>
      <w:marBottom w:val="0"/>
      <w:divBdr>
        <w:top w:val="none" w:sz="0" w:space="0" w:color="auto"/>
        <w:left w:val="none" w:sz="0" w:space="0" w:color="auto"/>
        <w:bottom w:val="none" w:sz="0" w:space="0" w:color="auto"/>
        <w:right w:val="none" w:sz="0" w:space="0" w:color="auto"/>
      </w:divBdr>
    </w:div>
    <w:div w:id="1106189827">
      <w:bodyDiv w:val="1"/>
      <w:marLeft w:val="0"/>
      <w:marRight w:val="0"/>
      <w:marTop w:val="0"/>
      <w:marBottom w:val="0"/>
      <w:divBdr>
        <w:top w:val="none" w:sz="0" w:space="0" w:color="auto"/>
        <w:left w:val="none" w:sz="0" w:space="0" w:color="auto"/>
        <w:bottom w:val="none" w:sz="0" w:space="0" w:color="auto"/>
        <w:right w:val="none" w:sz="0" w:space="0" w:color="auto"/>
      </w:divBdr>
    </w:div>
    <w:div w:id="1205946491">
      <w:bodyDiv w:val="1"/>
      <w:marLeft w:val="0"/>
      <w:marRight w:val="0"/>
      <w:marTop w:val="0"/>
      <w:marBottom w:val="0"/>
      <w:divBdr>
        <w:top w:val="none" w:sz="0" w:space="0" w:color="auto"/>
        <w:left w:val="none" w:sz="0" w:space="0" w:color="auto"/>
        <w:bottom w:val="none" w:sz="0" w:space="0" w:color="auto"/>
        <w:right w:val="none" w:sz="0" w:space="0" w:color="auto"/>
      </w:divBdr>
    </w:div>
    <w:div w:id="1238783085">
      <w:bodyDiv w:val="1"/>
      <w:marLeft w:val="0"/>
      <w:marRight w:val="0"/>
      <w:marTop w:val="0"/>
      <w:marBottom w:val="0"/>
      <w:divBdr>
        <w:top w:val="none" w:sz="0" w:space="0" w:color="auto"/>
        <w:left w:val="none" w:sz="0" w:space="0" w:color="auto"/>
        <w:bottom w:val="none" w:sz="0" w:space="0" w:color="auto"/>
        <w:right w:val="none" w:sz="0" w:space="0" w:color="auto"/>
      </w:divBdr>
    </w:div>
    <w:div w:id="1392382908">
      <w:bodyDiv w:val="1"/>
      <w:marLeft w:val="0"/>
      <w:marRight w:val="0"/>
      <w:marTop w:val="0"/>
      <w:marBottom w:val="0"/>
      <w:divBdr>
        <w:top w:val="none" w:sz="0" w:space="0" w:color="auto"/>
        <w:left w:val="none" w:sz="0" w:space="0" w:color="auto"/>
        <w:bottom w:val="none" w:sz="0" w:space="0" w:color="auto"/>
        <w:right w:val="none" w:sz="0" w:space="0" w:color="auto"/>
      </w:divBdr>
    </w:div>
    <w:div w:id="1668706048">
      <w:bodyDiv w:val="1"/>
      <w:marLeft w:val="0"/>
      <w:marRight w:val="0"/>
      <w:marTop w:val="0"/>
      <w:marBottom w:val="0"/>
      <w:divBdr>
        <w:top w:val="none" w:sz="0" w:space="0" w:color="auto"/>
        <w:left w:val="none" w:sz="0" w:space="0" w:color="auto"/>
        <w:bottom w:val="none" w:sz="0" w:space="0" w:color="auto"/>
        <w:right w:val="none" w:sz="0" w:space="0" w:color="auto"/>
      </w:divBdr>
    </w:div>
    <w:div w:id="1745299361">
      <w:bodyDiv w:val="1"/>
      <w:marLeft w:val="0"/>
      <w:marRight w:val="0"/>
      <w:marTop w:val="0"/>
      <w:marBottom w:val="0"/>
      <w:divBdr>
        <w:top w:val="none" w:sz="0" w:space="0" w:color="auto"/>
        <w:left w:val="none" w:sz="0" w:space="0" w:color="auto"/>
        <w:bottom w:val="none" w:sz="0" w:space="0" w:color="auto"/>
        <w:right w:val="none" w:sz="0" w:space="0" w:color="auto"/>
      </w:divBdr>
    </w:div>
    <w:div w:id="1760832501">
      <w:bodyDiv w:val="1"/>
      <w:marLeft w:val="0"/>
      <w:marRight w:val="0"/>
      <w:marTop w:val="0"/>
      <w:marBottom w:val="0"/>
      <w:divBdr>
        <w:top w:val="none" w:sz="0" w:space="0" w:color="auto"/>
        <w:left w:val="none" w:sz="0" w:space="0" w:color="auto"/>
        <w:bottom w:val="none" w:sz="0" w:space="0" w:color="auto"/>
        <w:right w:val="none" w:sz="0" w:space="0" w:color="auto"/>
      </w:divBdr>
    </w:div>
    <w:div w:id="18347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128/D030.V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8128/D010.V9.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7C6F-B6EB-4821-9D0F-3EE45D1E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10172</Words>
  <Characters>57983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Ju</dc:creator>
  <cp:keywords/>
  <dc:description/>
  <cp:lastModifiedBy>Andrew Ju</cp:lastModifiedBy>
  <cp:revision>2</cp:revision>
  <dcterms:created xsi:type="dcterms:W3CDTF">2023-10-27T19:48:00Z</dcterms:created>
  <dcterms:modified xsi:type="dcterms:W3CDTF">2023-10-27T19:48:00Z</dcterms:modified>
</cp:coreProperties>
</file>